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B71" w:rsidRDefault="00CC7B03">
      <w:pPr>
        <w:spacing w:after="0"/>
        <w:rPr>
          <w:rFonts w:ascii="仿宋_GB2312" w:eastAsia="仿宋_GB2312" w:hAnsi="微软雅黑" w:cs="Times New Roman"/>
          <w:sz w:val="32"/>
          <w:szCs w:val="32"/>
        </w:rPr>
      </w:pPr>
      <w:r>
        <w:rPr>
          <w:rFonts w:ascii="仿宋_GB2312" w:eastAsia="仿宋_GB2312" w:hAnsi="微软雅黑" w:cs="Times New Roman" w:hint="eastAsia"/>
          <w:sz w:val="32"/>
          <w:szCs w:val="32"/>
        </w:rPr>
        <w:t>附件</w:t>
      </w:r>
      <w:r>
        <w:rPr>
          <w:rFonts w:ascii="仿宋_GB2312" w:eastAsia="仿宋_GB2312" w:hAnsi="微软雅黑" w:cs="Times New Roman" w:hint="eastAsia"/>
          <w:sz w:val="32"/>
          <w:szCs w:val="32"/>
        </w:rPr>
        <w:t>4</w:t>
      </w:r>
    </w:p>
    <w:p w:rsidR="00696B71" w:rsidRDefault="00CC7B03">
      <w:pPr>
        <w:spacing w:beforeLines="100" w:before="240" w:line="480" w:lineRule="exact"/>
        <w:jc w:val="center"/>
        <w:rPr>
          <w:rFonts w:ascii="仿宋" w:eastAsia="仿宋" w:hAnsi="仿宋" w:cs="仿宋"/>
          <w:b/>
          <w:sz w:val="36"/>
          <w:szCs w:val="36"/>
        </w:rPr>
      </w:pPr>
      <w:bookmarkStart w:id="0" w:name="_GoBack"/>
      <w:r>
        <w:rPr>
          <w:rFonts w:ascii="仿宋" w:eastAsia="仿宋" w:hAnsi="仿宋" w:cs="仿宋" w:hint="eastAsia"/>
          <w:b/>
          <w:sz w:val="36"/>
          <w:szCs w:val="36"/>
        </w:rPr>
        <w:t>关于申请专利快速预审的情况说明及承诺</w:t>
      </w:r>
    </w:p>
    <w:bookmarkEnd w:id="0"/>
    <w:p w:rsidR="00696B71" w:rsidRDefault="00CC7B03">
      <w:pPr>
        <w:spacing w:after="0" w:line="480" w:lineRule="exact"/>
        <w:rPr>
          <w:rFonts w:ascii="仿宋" w:eastAsia="仿宋" w:hAnsi="仿宋" w:cs="仿宋"/>
          <w:b/>
          <w:sz w:val="24"/>
          <w:szCs w:val="24"/>
        </w:rPr>
      </w:pPr>
      <w:r>
        <w:rPr>
          <w:rFonts w:ascii="仿宋" w:eastAsia="仿宋" w:hAnsi="仿宋" w:cs="仿宋" w:hint="eastAsia"/>
          <w:b/>
          <w:sz w:val="24"/>
          <w:szCs w:val="24"/>
        </w:rPr>
        <w:t xml:space="preserve">1  </w:t>
      </w:r>
      <w:r>
        <w:rPr>
          <w:rFonts w:ascii="仿宋" w:eastAsia="仿宋" w:hAnsi="仿宋" w:cs="仿宋" w:hint="eastAsia"/>
          <w:b/>
          <w:sz w:val="24"/>
          <w:szCs w:val="24"/>
        </w:rPr>
        <w:t>专利预审的主体和类型</w:t>
      </w:r>
    </w:p>
    <w:p w:rsidR="00696B71" w:rsidRDefault="00CC7B03">
      <w:pPr>
        <w:spacing w:after="0" w:line="48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1.1  </w:t>
      </w:r>
      <w:r>
        <w:rPr>
          <w:rFonts w:ascii="仿宋" w:eastAsia="仿宋" w:hAnsi="仿宋" w:cs="仿宋" w:hint="eastAsia"/>
          <w:sz w:val="24"/>
          <w:szCs w:val="24"/>
        </w:rPr>
        <w:t>当专利预审的申请人为两个或多个时，第一申请人应为在西安辖区注册的法人单位且在西安知识产权保护中心进行了预审备案；且需要提供联合研发协议。</w:t>
      </w:r>
    </w:p>
    <w:p w:rsidR="00696B71" w:rsidRDefault="00CC7B03">
      <w:pPr>
        <w:spacing w:after="0" w:line="480" w:lineRule="exact"/>
        <w:rPr>
          <w:rFonts w:ascii="仿宋" w:eastAsia="仿宋" w:hAnsi="仿宋" w:cs="仿宋"/>
          <w:sz w:val="24"/>
          <w:szCs w:val="24"/>
        </w:rPr>
      </w:pPr>
      <w:r>
        <w:rPr>
          <w:rFonts w:ascii="仿宋" w:eastAsia="仿宋" w:hAnsi="仿宋" w:cs="仿宋" w:hint="eastAsia"/>
          <w:sz w:val="24"/>
          <w:szCs w:val="24"/>
        </w:rPr>
        <w:t xml:space="preserve">    1.2  </w:t>
      </w:r>
      <w:r>
        <w:rPr>
          <w:rFonts w:ascii="仿宋" w:eastAsia="仿宋" w:hAnsi="仿宋" w:cs="仿宋" w:hint="eastAsia"/>
          <w:sz w:val="24"/>
          <w:szCs w:val="24"/>
        </w:rPr>
        <w:t>以下类型的专利申请不得进行专利预审：在先申请的分案申请，同日申请，涉及国防利益、国家安全或重大利益的申请，需要进行保密审查的申请，</w:t>
      </w:r>
      <w:r>
        <w:rPr>
          <w:rFonts w:ascii="仿宋" w:eastAsia="仿宋" w:hAnsi="仿宋" w:cs="仿宋" w:hint="eastAsia"/>
          <w:sz w:val="24"/>
          <w:szCs w:val="24"/>
        </w:rPr>
        <w:t>PCT</w:t>
      </w:r>
      <w:r>
        <w:rPr>
          <w:rFonts w:ascii="仿宋" w:eastAsia="仿宋" w:hAnsi="仿宋" w:cs="仿宋" w:hint="eastAsia"/>
          <w:sz w:val="24"/>
          <w:szCs w:val="24"/>
        </w:rPr>
        <w:t>国际申请，进入中国国家阶段的</w:t>
      </w:r>
      <w:r>
        <w:rPr>
          <w:rFonts w:ascii="仿宋" w:eastAsia="仿宋" w:hAnsi="仿宋" w:cs="仿宋" w:hint="eastAsia"/>
          <w:sz w:val="24"/>
          <w:szCs w:val="24"/>
        </w:rPr>
        <w:t>PCT</w:t>
      </w:r>
      <w:r>
        <w:rPr>
          <w:rFonts w:ascii="仿宋" w:eastAsia="仿宋" w:hAnsi="仿宋" w:cs="仿宋" w:hint="eastAsia"/>
          <w:sz w:val="24"/>
          <w:szCs w:val="24"/>
        </w:rPr>
        <w:t>国际申请。</w:t>
      </w:r>
    </w:p>
    <w:p w:rsidR="00696B71" w:rsidRDefault="00CC7B03">
      <w:pPr>
        <w:spacing w:after="0" w:line="480" w:lineRule="exact"/>
        <w:rPr>
          <w:rFonts w:ascii="仿宋" w:eastAsia="仿宋" w:hAnsi="仿宋" w:cs="仿宋"/>
          <w:b/>
          <w:sz w:val="24"/>
          <w:szCs w:val="24"/>
        </w:rPr>
      </w:pPr>
      <w:r>
        <w:rPr>
          <w:rFonts w:ascii="仿宋" w:eastAsia="仿宋" w:hAnsi="仿宋" w:cs="仿宋" w:hint="eastAsia"/>
          <w:b/>
          <w:sz w:val="24"/>
          <w:szCs w:val="24"/>
        </w:rPr>
        <w:t xml:space="preserve">2  </w:t>
      </w:r>
      <w:r>
        <w:rPr>
          <w:rFonts w:ascii="仿宋" w:eastAsia="仿宋" w:hAnsi="仿宋" w:cs="仿宋" w:hint="eastAsia"/>
          <w:b/>
          <w:sz w:val="24"/>
          <w:szCs w:val="24"/>
        </w:rPr>
        <w:t>专利预审的程序和费用</w:t>
      </w:r>
    </w:p>
    <w:p w:rsidR="00696B71" w:rsidRDefault="00CC7B03">
      <w:pPr>
        <w:spacing w:after="0" w:line="48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2.1  </w:t>
      </w:r>
      <w:r>
        <w:rPr>
          <w:rFonts w:ascii="仿宋" w:eastAsia="仿宋" w:hAnsi="仿宋" w:cs="仿宋" w:hint="eastAsia"/>
          <w:sz w:val="24"/>
          <w:szCs w:val="24"/>
        </w:rPr>
        <w:t>专利预审对分类号（须提交准确的、符合西安知识产权保护中心预审领域要求的一个专利分类号）、文件（须使用</w:t>
      </w:r>
      <w:r>
        <w:rPr>
          <w:rFonts w:ascii="仿宋" w:eastAsia="仿宋" w:hAnsi="仿宋" w:cs="仿宋" w:hint="eastAsia"/>
          <w:sz w:val="24"/>
          <w:szCs w:val="24"/>
        </w:rPr>
        <w:t>XML</w:t>
      </w:r>
      <w:r>
        <w:rPr>
          <w:rFonts w:ascii="仿宋" w:eastAsia="仿宋" w:hAnsi="仿宋" w:cs="仿宋" w:hint="eastAsia"/>
          <w:sz w:val="24"/>
          <w:szCs w:val="24"/>
        </w:rPr>
        <w:t>格式；不得有形式缺陷，包括语句</w:t>
      </w:r>
      <w:r>
        <w:rPr>
          <w:rFonts w:ascii="仿宋" w:eastAsia="仿宋" w:hAnsi="仿宋" w:cs="仿宋" w:hint="eastAsia"/>
          <w:sz w:val="24"/>
          <w:szCs w:val="24"/>
        </w:rPr>
        <w:t>通顺、逻辑合理、用词准确、无错别字等）、缴费期限（须在专利申请当日缴纳）、申请方案（不得有明显的专利性缺陷）和审查意见答复期限（发明一通</w:t>
      </w:r>
      <w:r>
        <w:rPr>
          <w:rFonts w:ascii="仿宋" w:eastAsia="仿宋" w:hAnsi="仿宋" w:cs="仿宋" w:hint="eastAsia"/>
          <w:sz w:val="24"/>
          <w:szCs w:val="24"/>
        </w:rPr>
        <w:t>10</w:t>
      </w:r>
      <w:r>
        <w:rPr>
          <w:rFonts w:ascii="仿宋" w:eastAsia="仿宋" w:hAnsi="仿宋" w:cs="仿宋" w:hint="eastAsia"/>
          <w:sz w:val="24"/>
          <w:szCs w:val="24"/>
        </w:rPr>
        <w:t>个工作日、二通</w:t>
      </w:r>
      <w:r>
        <w:rPr>
          <w:rFonts w:ascii="仿宋" w:eastAsia="仿宋" w:hAnsi="仿宋" w:cs="仿宋" w:hint="eastAsia"/>
          <w:sz w:val="24"/>
          <w:szCs w:val="24"/>
        </w:rPr>
        <w:t>5</w:t>
      </w:r>
      <w:r>
        <w:rPr>
          <w:rFonts w:ascii="仿宋" w:eastAsia="仿宋" w:hAnsi="仿宋" w:cs="仿宋" w:hint="eastAsia"/>
          <w:sz w:val="24"/>
          <w:szCs w:val="24"/>
        </w:rPr>
        <w:t>个工作日；实用新型一通</w:t>
      </w:r>
      <w:r>
        <w:rPr>
          <w:rFonts w:ascii="仿宋" w:eastAsia="仿宋" w:hAnsi="仿宋" w:cs="仿宋" w:hint="eastAsia"/>
          <w:sz w:val="24"/>
          <w:szCs w:val="24"/>
        </w:rPr>
        <w:t>5</w:t>
      </w:r>
      <w:r>
        <w:rPr>
          <w:rFonts w:ascii="仿宋" w:eastAsia="仿宋" w:hAnsi="仿宋" w:cs="仿宋" w:hint="eastAsia"/>
          <w:sz w:val="24"/>
          <w:szCs w:val="24"/>
        </w:rPr>
        <w:t>个工作日）都有严格要求，请各发明人务必遵守相关规定。</w:t>
      </w:r>
    </w:p>
    <w:p w:rsidR="00696B71" w:rsidRDefault="00CC7B03">
      <w:pPr>
        <w:spacing w:after="0" w:line="480" w:lineRule="exact"/>
        <w:ind w:firstLineChars="200" w:firstLine="480"/>
        <w:rPr>
          <w:rFonts w:ascii="仿宋" w:eastAsia="仿宋" w:hAnsi="仿宋" w:cs="仿宋"/>
          <w:sz w:val="24"/>
          <w:szCs w:val="24"/>
        </w:rPr>
      </w:pPr>
      <w:r>
        <w:rPr>
          <w:rFonts w:ascii="仿宋" w:eastAsia="仿宋" w:hAnsi="仿宋" w:cs="仿宋" w:hint="eastAsia"/>
          <w:sz w:val="24"/>
          <w:szCs w:val="24"/>
        </w:rPr>
        <w:t>若专利预审案件多次出现上述情况或出现“非正常专利申请”或“低质量专利申请”，将影响研究所整体快速预审的资质。因此，如发生以上情况，研究所根据影响程度，视情况停止发生以上状况的研究室</w:t>
      </w:r>
      <w:r>
        <w:rPr>
          <w:rFonts w:ascii="仿宋" w:eastAsia="仿宋" w:hAnsi="仿宋" w:cs="仿宋" w:hint="eastAsia"/>
          <w:sz w:val="24"/>
          <w:szCs w:val="24"/>
        </w:rPr>
        <w:t>3</w:t>
      </w:r>
      <w:r>
        <w:rPr>
          <w:rFonts w:ascii="仿宋" w:eastAsia="仿宋" w:hAnsi="仿宋" w:cs="仿宋" w:hint="eastAsia"/>
          <w:sz w:val="24"/>
          <w:szCs w:val="24"/>
        </w:rPr>
        <w:t>至</w:t>
      </w:r>
      <w:r>
        <w:rPr>
          <w:rFonts w:ascii="仿宋" w:eastAsia="仿宋" w:hAnsi="仿宋" w:cs="仿宋" w:hint="eastAsia"/>
          <w:sz w:val="24"/>
          <w:szCs w:val="24"/>
        </w:rPr>
        <w:t>12</w:t>
      </w:r>
      <w:r>
        <w:rPr>
          <w:rFonts w:ascii="仿宋" w:eastAsia="仿宋" w:hAnsi="仿宋" w:cs="仿宋" w:hint="eastAsia"/>
          <w:sz w:val="24"/>
          <w:szCs w:val="24"/>
        </w:rPr>
        <w:t>个月的专利预审案件的审批。</w:t>
      </w:r>
    </w:p>
    <w:p w:rsidR="00696B71" w:rsidRDefault="00CC7B03">
      <w:pPr>
        <w:spacing w:after="0" w:line="48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2.2  </w:t>
      </w:r>
      <w:r>
        <w:rPr>
          <w:rFonts w:ascii="仿宋" w:eastAsia="仿宋" w:hAnsi="仿宋" w:cs="仿宋" w:hint="eastAsia"/>
          <w:sz w:val="24"/>
          <w:szCs w:val="24"/>
        </w:rPr>
        <w:t>西安知识产权保护中心预审审查员的检索、审查结果等仅供</w:t>
      </w:r>
      <w:r>
        <w:rPr>
          <w:rFonts w:ascii="仿宋" w:eastAsia="仿宋" w:hAnsi="仿宋" w:cs="仿宋" w:hint="eastAsia"/>
          <w:sz w:val="24"/>
          <w:szCs w:val="24"/>
        </w:rPr>
        <w:t>参考，不代表国知局的审查意见；国知局审查员对该专利申请将是独立检索、独立审查。</w:t>
      </w:r>
    </w:p>
    <w:p w:rsidR="00696B71" w:rsidRDefault="00CC7B03">
      <w:pPr>
        <w:spacing w:after="0" w:line="48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2.3  </w:t>
      </w:r>
      <w:r>
        <w:rPr>
          <w:rFonts w:ascii="仿宋" w:eastAsia="仿宋" w:hAnsi="仿宋" w:cs="仿宋" w:hint="eastAsia"/>
          <w:sz w:val="24"/>
          <w:szCs w:val="24"/>
        </w:rPr>
        <w:t>专利预审不收取额外的官费，但如需通过代理公司进行专利预审提交，须额外支付预审代理费；预审代理费包括以下服务：预审可行性分析、分类号检索、专利性检索、文件准备、文件制备、提交预审申请、答复预审审通、专利官费的加急缴纳、审查意见的加急答复等。</w:t>
      </w:r>
    </w:p>
    <w:p w:rsidR="00696B71" w:rsidRDefault="00CC7B03">
      <w:pPr>
        <w:spacing w:after="0" w:line="48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2.4  </w:t>
      </w:r>
      <w:r>
        <w:rPr>
          <w:rFonts w:ascii="仿宋" w:eastAsia="仿宋" w:hAnsi="仿宋" w:cs="仿宋" w:hint="eastAsia"/>
          <w:sz w:val="24"/>
          <w:szCs w:val="24"/>
        </w:rPr>
        <w:t>专利预审案件在专利申请授权公告前，申请人不得提出申请人、发明人等著录项目变更请求。</w:t>
      </w:r>
    </w:p>
    <w:p w:rsidR="00696B71" w:rsidRDefault="00CC7B03">
      <w:pPr>
        <w:spacing w:after="0" w:line="48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2.5  </w:t>
      </w:r>
      <w:r>
        <w:rPr>
          <w:rFonts w:ascii="仿宋" w:eastAsia="仿宋" w:hAnsi="仿宋" w:cs="仿宋" w:hint="eastAsia"/>
          <w:sz w:val="24"/>
          <w:szCs w:val="24"/>
        </w:rPr>
        <w:t>如需进行专利快速预审，请在专利申请审批表上勾选，并视作同意遵守本情况说明的全部</w:t>
      </w:r>
      <w:r>
        <w:rPr>
          <w:rFonts w:ascii="仿宋" w:eastAsia="仿宋" w:hAnsi="仿宋" w:cs="仿宋" w:hint="eastAsia"/>
          <w:sz w:val="24"/>
          <w:szCs w:val="24"/>
        </w:rPr>
        <w:t>内容。</w:t>
      </w:r>
    </w:p>
    <w:p w:rsidR="00696B71" w:rsidRDefault="00CC7B03">
      <w:pPr>
        <w:spacing w:after="0" w:line="480" w:lineRule="exact"/>
        <w:rPr>
          <w:rFonts w:ascii="仿宋" w:eastAsia="仿宋" w:hAnsi="仿宋" w:cs="仿宋"/>
          <w:b/>
          <w:sz w:val="24"/>
          <w:szCs w:val="24"/>
        </w:rPr>
      </w:pPr>
      <w:r>
        <w:rPr>
          <w:rFonts w:ascii="仿宋" w:eastAsia="仿宋" w:hAnsi="仿宋" w:cs="仿宋" w:hint="eastAsia"/>
          <w:b/>
          <w:sz w:val="24"/>
          <w:szCs w:val="24"/>
        </w:rPr>
        <w:t xml:space="preserve">3  </w:t>
      </w:r>
      <w:r>
        <w:rPr>
          <w:rFonts w:ascii="仿宋" w:eastAsia="仿宋" w:hAnsi="仿宋" w:cs="仿宋" w:hint="eastAsia"/>
          <w:b/>
          <w:sz w:val="24"/>
          <w:szCs w:val="24"/>
        </w:rPr>
        <w:t>专利预审的提醒事项：</w:t>
      </w:r>
    </w:p>
    <w:p w:rsidR="00696B71" w:rsidRDefault="00CC7B03">
      <w:pPr>
        <w:spacing w:after="0" w:line="480" w:lineRule="exact"/>
        <w:ind w:firstLineChars="196" w:firstLine="470"/>
        <w:rPr>
          <w:rFonts w:ascii="仿宋" w:eastAsia="仿宋" w:hAnsi="仿宋" w:cs="仿宋"/>
          <w:sz w:val="24"/>
          <w:szCs w:val="24"/>
        </w:rPr>
      </w:pPr>
      <w:r>
        <w:rPr>
          <w:rFonts w:ascii="仿宋" w:eastAsia="仿宋" w:hAnsi="仿宋" w:cs="仿宋" w:hint="eastAsia"/>
          <w:sz w:val="24"/>
          <w:szCs w:val="24"/>
        </w:rPr>
        <w:lastRenderedPageBreak/>
        <w:t xml:space="preserve">3.1  </w:t>
      </w:r>
      <w:r>
        <w:rPr>
          <w:rFonts w:ascii="仿宋" w:eastAsia="仿宋" w:hAnsi="仿宋" w:cs="仿宋" w:hint="eastAsia"/>
          <w:sz w:val="24"/>
          <w:szCs w:val="24"/>
        </w:rPr>
        <w:t>走专利预审程序，将失去主动修改机会。</w:t>
      </w:r>
      <w:r>
        <w:rPr>
          <w:rFonts w:ascii="仿宋" w:eastAsia="仿宋" w:hAnsi="仿宋" w:cs="仿宋" w:hint="eastAsia"/>
          <w:sz w:val="24"/>
          <w:szCs w:val="24"/>
        </w:rPr>
        <w:t xml:space="preserve"> </w:t>
      </w:r>
    </w:p>
    <w:p w:rsidR="00696B71" w:rsidRDefault="00CC7B03">
      <w:pPr>
        <w:spacing w:after="0" w:line="480" w:lineRule="exact"/>
        <w:ind w:firstLineChars="196" w:firstLine="470"/>
        <w:rPr>
          <w:rFonts w:ascii="仿宋" w:eastAsia="仿宋" w:hAnsi="仿宋" w:cs="仿宋"/>
          <w:sz w:val="24"/>
          <w:szCs w:val="24"/>
        </w:rPr>
      </w:pPr>
      <w:r>
        <w:rPr>
          <w:rFonts w:ascii="仿宋" w:eastAsia="仿宋" w:hAnsi="仿宋" w:cs="仿宋" w:hint="eastAsia"/>
          <w:sz w:val="24"/>
          <w:szCs w:val="24"/>
        </w:rPr>
        <w:t xml:space="preserve">3.2  </w:t>
      </w:r>
      <w:r>
        <w:rPr>
          <w:rFonts w:ascii="仿宋" w:eastAsia="仿宋" w:hAnsi="仿宋" w:cs="仿宋" w:hint="eastAsia"/>
          <w:sz w:val="24"/>
          <w:szCs w:val="24"/>
        </w:rPr>
        <w:t>对于发明专利申请，申请人需承诺在申请请求书中选择“请求早日公布该专利申请”，在提交专利申请的同时提交实质审查请求书，以及申请日前与发明有关的参考资料。</w:t>
      </w:r>
    </w:p>
    <w:p w:rsidR="00696B71" w:rsidRDefault="00CC7B03">
      <w:pPr>
        <w:spacing w:after="0" w:line="48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3.3  </w:t>
      </w:r>
      <w:r>
        <w:rPr>
          <w:rFonts w:ascii="仿宋" w:eastAsia="仿宋" w:hAnsi="仿宋" w:cs="仿宋" w:hint="eastAsia"/>
          <w:sz w:val="24"/>
          <w:szCs w:val="24"/>
        </w:rPr>
        <w:t>专利预审的专利分类号选择不准确，会导致“预审”被驳回；即使“西安保护中心”确认通过的“分类号”，国知局复核有偏差的，依然会驳回“预审”。</w:t>
      </w:r>
    </w:p>
    <w:p w:rsidR="00696B71" w:rsidRDefault="00CC7B03">
      <w:pPr>
        <w:spacing w:after="0" w:line="48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3.4  </w:t>
      </w:r>
      <w:r>
        <w:rPr>
          <w:rFonts w:ascii="仿宋" w:eastAsia="仿宋" w:hAnsi="仿宋" w:cs="仿宋" w:hint="eastAsia"/>
          <w:sz w:val="24"/>
          <w:szCs w:val="24"/>
        </w:rPr>
        <w:t>专利预审对文件格式和质量要求更严格，多次补正会导致“预审”被驳回。</w:t>
      </w:r>
    </w:p>
    <w:p w:rsidR="00696B71" w:rsidRDefault="00CC7B03">
      <w:pPr>
        <w:spacing w:after="0" w:line="48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3.5  </w:t>
      </w:r>
      <w:r>
        <w:rPr>
          <w:rFonts w:ascii="仿宋" w:eastAsia="仿宋" w:hAnsi="仿宋" w:cs="仿宋" w:hint="eastAsia"/>
          <w:sz w:val="24"/>
          <w:szCs w:val="24"/>
        </w:rPr>
        <w:t>专利预审中检索的全面性、准确性相对较弱，易导致“专利性”判断偏差，最终致专利申请被驳回或专利权稳定性差。</w:t>
      </w:r>
    </w:p>
    <w:p w:rsidR="00696B71" w:rsidRDefault="00CC7B03">
      <w:pPr>
        <w:spacing w:after="0" w:line="48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3.6  </w:t>
      </w:r>
      <w:r>
        <w:rPr>
          <w:rFonts w:ascii="仿宋" w:eastAsia="仿宋" w:hAnsi="仿宋" w:cs="仿宋" w:hint="eastAsia"/>
          <w:sz w:val="24"/>
          <w:szCs w:val="24"/>
        </w:rPr>
        <w:t>专利预审程序中官费的缴费时限短且严格，逾期将返归常规专利申请程序。</w:t>
      </w:r>
    </w:p>
    <w:p w:rsidR="00696B71" w:rsidRDefault="00CC7B03">
      <w:pPr>
        <w:spacing w:after="0" w:line="48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3.7  </w:t>
      </w:r>
      <w:r>
        <w:rPr>
          <w:rFonts w:ascii="仿宋" w:eastAsia="仿宋" w:hAnsi="仿宋" w:cs="仿宋" w:hint="eastAsia"/>
          <w:sz w:val="24"/>
          <w:szCs w:val="24"/>
        </w:rPr>
        <w:t>发明专利申请，经“二通”后仍未“授权”的，“三通”将返归常规专利申请程序；实用新型专利申请，经“一通”后仍未“授权”的，“二通”将返归常规专利申请程序。</w:t>
      </w:r>
    </w:p>
    <w:p w:rsidR="00696B71" w:rsidRDefault="00CC7B03">
      <w:pPr>
        <w:spacing w:after="0" w:line="48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3.8  </w:t>
      </w:r>
      <w:r>
        <w:rPr>
          <w:rFonts w:ascii="仿宋" w:eastAsia="仿宋" w:hAnsi="仿宋" w:cs="仿宋" w:hint="eastAsia"/>
          <w:sz w:val="24"/>
          <w:szCs w:val="24"/>
        </w:rPr>
        <w:t>专利预审个案，多次补正的，将导致该个案“预审”被驳回。专利申请预审的申请人，多案被驳回的，将导致申请人（即西安光机所）被强制“整改”，“整改”期间不得进行</w:t>
      </w:r>
      <w:r>
        <w:rPr>
          <w:rFonts w:ascii="仿宋" w:eastAsia="仿宋" w:hAnsi="仿宋" w:cs="仿宋" w:hint="eastAsia"/>
          <w:sz w:val="24"/>
          <w:szCs w:val="24"/>
        </w:rPr>
        <w:t>专利申请预审。</w:t>
      </w:r>
    </w:p>
    <w:p w:rsidR="00696B71" w:rsidRDefault="00696B71">
      <w:pPr>
        <w:spacing w:after="0" w:line="480" w:lineRule="exact"/>
        <w:ind w:firstLineChars="200" w:firstLine="480"/>
        <w:rPr>
          <w:rFonts w:ascii="仿宋" w:eastAsia="仿宋" w:hAnsi="仿宋" w:cs="仿宋"/>
          <w:sz w:val="24"/>
          <w:szCs w:val="24"/>
        </w:rPr>
      </w:pPr>
    </w:p>
    <w:p w:rsidR="00696B71" w:rsidRDefault="00CC7B03">
      <w:pPr>
        <w:spacing w:after="0" w:line="480" w:lineRule="exact"/>
        <w:ind w:firstLine="465"/>
        <w:rPr>
          <w:rFonts w:ascii="仿宋" w:eastAsia="仿宋" w:hAnsi="仿宋" w:cs="仿宋"/>
          <w:b/>
          <w:sz w:val="28"/>
          <w:szCs w:val="28"/>
        </w:rPr>
      </w:pPr>
      <w:r>
        <w:rPr>
          <w:rFonts w:ascii="仿宋" w:eastAsia="仿宋" w:hAnsi="仿宋" w:cs="仿宋" w:hint="eastAsia"/>
          <w:b/>
          <w:sz w:val="28"/>
          <w:szCs w:val="28"/>
        </w:rPr>
        <w:t>承诺：</w:t>
      </w:r>
    </w:p>
    <w:p w:rsidR="00696B71" w:rsidRDefault="00CC7B03">
      <w:pPr>
        <w:spacing w:after="0" w:line="480" w:lineRule="exact"/>
        <w:ind w:firstLine="465"/>
        <w:rPr>
          <w:rFonts w:ascii="仿宋" w:eastAsia="仿宋" w:hAnsi="仿宋" w:cs="仿宋"/>
          <w:b/>
          <w:sz w:val="24"/>
          <w:szCs w:val="24"/>
        </w:rPr>
      </w:pPr>
      <w:r>
        <w:rPr>
          <w:rFonts w:ascii="仿宋" w:eastAsia="仿宋" w:hAnsi="仿宋" w:cs="仿宋" w:hint="eastAsia"/>
          <w:b/>
          <w:sz w:val="24"/>
          <w:szCs w:val="24"/>
        </w:rPr>
        <w:t>我已仔细阅读以上内容，并承诺遵守以上相关规定。</w:t>
      </w:r>
    </w:p>
    <w:p w:rsidR="00696B71" w:rsidRDefault="00696B71">
      <w:pPr>
        <w:spacing w:after="0" w:line="480" w:lineRule="exact"/>
        <w:ind w:firstLine="465"/>
        <w:rPr>
          <w:rFonts w:ascii="仿宋" w:eastAsia="仿宋" w:hAnsi="仿宋" w:cs="仿宋"/>
          <w:b/>
          <w:sz w:val="24"/>
          <w:szCs w:val="24"/>
        </w:rPr>
      </w:pPr>
    </w:p>
    <w:p w:rsidR="00696B71" w:rsidRDefault="00CC7B03">
      <w:pPr>
        <w:spacing w:after="0" w:line="480" w:lineRule="exact"/>
        <w:ind w:firstLine="465"/>
        <w:rPr>
          <w:rFonts w:ascii="仿宋" w:eastAsia="仿宋" w:hAnsi="仿宋" w:cs="仿宋"/>
          <w:b/>
          <w:sz w:val="24"/>
          <w:szCs w:val="24"/>
        </w:rPr>
      </w:pPr>
      <w:r>
        <w:rPr>
          <w:rFonts w:ascii="仿宋" w:eastAsia="仿宋" w:hAnsi="仿宋" w:cs="仿宋" w:hint="eastAsia"/>
          <w:b/>
          <w:sz w:val="24"/>
          <w:szCs w:val="24"/>
        </w:rPr>
        <w:t>专利第一申请人签字：</w:t>
      </w:r>
      <w:r>
        <w:rPr>
          <w:rFonts w:ascii="仿宋" w:eastAsia="仿宋" w:hAnsi="仿宋" w:cs="仿宋" w:hint="eastAsia"/>
          <w:b/>
          <w:sz w:val="24"/>
          <w:szCs w:val="24"/>
        </w:rPr>
        <w:t xml:space="preserve">                     </w:t>
      </w:r>
      <w:r>
        <w:rPr>
          <w:rFonts w:ascii="仿宋" w:eastAsia="仿宋" w:hAnsi="仿宋" w:cs="仿宋" w:hint="eastAsia"/>
          <w:b/>
          <w:sz w:val="24"/>
          <w:szCs w:val="24"/>
        </w:rPr>
        <w:t>时间：</w:t>
      </w:r>
    </w:p>
    <w:p w:rsidR="00696B71" w:rsidRDefault="00696B71">
      <w:pPr>
        <w:spacing w:after="0" w:line="480" w:lineRule="exact"/>
        <w:ind w:firstLine="465"/>
        <w:rPr>
          <w:rFonts w:ascii="仿宋" w:eastAsia="仿宋" w:hAnsi="仿宋" w:cs="仿宋"/>
          <w:b/>
          <w:sz w:val="24"/>
          <w:szCs w:val="24"/>
        </w:rPr>
      </w:pPr>
    </w:p>
    <w:p w:rsidR="00696B71" w:rsidRDefault="00CC7B03">
      <w:pPr>
        <w:spacing w:after="0" w:line="480" w:lineRule="exact"/>
        <w:ind w:firstLine="465"/>
        <w:rPr>
          <w:rFonts w:ascii="仿宋" w:eastAsia="仿宋" w:hAnsi="仿宋" w:cs="仿宋"/>
          <w:b/>
          <w:sz w:val="28"/>
          <w:szCs w:val="28"/>
        </w:rPr>
      </w:pPr>
      <w:r>
        <w:rPr>
          <w:rFonts w:ascii="仿宋" w:eastAsia="仿宋" w:hAnsi="仿宋" w:cs="仿宋" w:hint="eastAsia"/>
          <w:b/>
          <w:sz w:val="24"/>
          <w:szCs w:val="24"/>
        </w:rPr>
        <w:t>部门负责人签字：</w:t>
      </w:r>
      <w:r>
        <w:rPr>
          <w:rFonts w:ascii="仿宋" w:eastAsia="仿宋" w:hAnsi="仿宋" w:cs="仿宋" w:hint="eastAsia"/>
          <w:b/>
          <w:sz w:val="24"/>
          <w:szCs w:val="24"/>
        </w:rPr>
        <w:t xml:space="preserve">                         </w:t>
      </w:r>
      <w:r>
        <w:rPr>
          <w:rFonts w:ascii="仿宋" w:eastAsia="仿宋" w:hAnsi="仿宋" w:cs="仿宋" w:hint="eastAsia"/>
          <w:b/>
          <w:sz w:val="24"/>
          <w:szCs w:val="24"/>
        </w:rPr>
        <w:t>时间：</w:t>
      </w:r>
    </w:p>
    <w:p w:rsidR="00696B71" w:rsidRDefault="00696B71">
      <w:pPr>
        <w:spacing w:after="0" w:line="480" w:lineRule="exact"/>
        <w:rPr>
          <w:rFonts w:ascii="仿宋" w:eastAsia="仿宋" w:hAnsi="仿宋" w:cs="仿宋"/>
          <w:sz w:val="24"/>
          <w:szCs w:val="24"/>
        </w:rPr>
      </w:pPr>
    </w:p>
    <w:p w:rsidR="00696B71" w:rsidRDefault="00696B71">
      <w:pPr>
        <w:spacing w:after="0" w:line="480" w:lineRule="exact"/>
        <w:rPr>
          <w:rFonts w:ascii="仿宋" w:eastAsia="仿宋" w:hAnsi="仿宋" w:cs="仿宋"/>
          <w:sz w:val="24"/>
          <w:szCs w:val="24"/>
        </w:rPr>
      </w:pPr>
    </w:p>
    <w:p w:rsidR="00696B71" w:rsidRDefault="00CC7B03" w:rsidP="00B82BB1">
      <w:pPr>
        <w:spacing w:after="0" w:line="440" w:lineRule="exact"/>
        <w:rPr>
          <w:rFonts w:ascii="宋体" w:eastAsia="宋体" w:hAnsi="宋体" w:cs="宋体"/>
          <w:szCs w:val="21"/>
        </w:rPr>
      </w:pPr>
      <w:r>
        <w:rPr>
          <w:rFonts w:ascii="仿宋" w:eastAsia="仿宋" w:hAnsi="仿宋" w:cs="仿宋" w:hint="eastAsia"/>
          <w:sz w:val="24"/>
          <w:szCs w:val="24"/>
        </w:rPr>
        <w:t>（备注：此</w:t>
      </w:r>
      <w:r>
        <w:rPr>
          <w:rFonts w:ascii="仿宋" w:eastAsia="仿宋" w:hAnsi="仿宋" w:cs="仿宋" w:hint="eastAsia"/>
          <w:sz w:val="24"/>
          <w:szCs w:val="24"/>
        </w:rPr>
        <w:t>文件一式两份、</w:t>
      </w:r>
      <w:r>
        <w:rPr>
          <w:rFonts w:ascii="仿宋" w:eastAsia="仿宋" w:hAnsi="仿宋" w:cs="仿宋" w:hint="eastAsia"/>
          <w:sz w:val="24"/>
          <w:szCs w:val="24"/>
        </w:rPr>
        <w:t>双面打印</w:t>
      </w:r>
      <w:r>
        <w:rPr>
          <w:rFonts w:ascii="仿宋" w:eastAsia="仿宋" w:hAnsi="仿宋" w:cs="仿宋" w:hint="eastAsia"/>
          <w:sz w:val="24"/>
          <w:szCs w:val="24"/>
        </w:rPr>
        <w:t>，</w:t>
      </w:r>
      <w:r>
        <w:rPr>
          <w:rFonts w:ascii="仿宋" w:eastAsia="仿宋" w:hAnsi="仿宋" w:cs="仿宋" w:hint="eastAsia"/>
          <w:sz w:val="24"/>
          <w:szCs w:val="24"/>
        </w:rPr>
        <w:t>所在研究室知识产权联络员、综合科研处各留存一份</w:t>
      </w:r>
      <w:r>
        <w:rPr>
          <w:rFonts w:ascii="仿宋" w:eastAsia="仿宋" w:hAnsi="仿宋" w:cs="仿宋" w:hint="eastAsia"/>
          <w:sz w:val="24"/>
          <w:szCs w:val="24"/>
        </w:rPr>
        <w:t>。</w:t>
      </w:r>
      <w:r>
        <w:rPr>
          <w:rFonts w:ascii="仿宋" w:eastAsia="仿宋" w:hAnsi="仿宋" w:cs="仿宋" w:hint="eastAsia"/>
          <w:sz w:val="24"/>
          <w:szCs w:val="24"/>
        </w:rPr>
        <w:t>）</w:t>
      </w:r>
    </w:p>
    <w:sectPr w:rsidR="00696B71">
      <w:pgSz w:w="11906" w:h="16838"/>
      <w:pgMar w:top="1440" w:right="1134"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B03" w:rsidRDefault="00CC7B03">
      <w:pPr>
        <w:spacing w:after="0"/>
      </w:pPr>
      <w:r>
        <w:separator/>
      </w:r>
    </w:p>
  </w:endnote>
  <w:endnote w:type="continuationSeparator" w:id="0">
    <w:p w:rsidR="00CC7B03" w:rsidRDefault="00CC7B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B03" w:rsidRDefault="00CC7B03">
      <w:pPr>
        <w:spacing w:after="0"/>
      </w:pPr>
      <w:r>
        <w:separator/>
      </w:r>
    </w:p>
  </w:footnote>
  <w:footnote w:type="continuationSeparator" w:id="0">
    <w:p w:rsidR="00CC7B03" w:rsidRDefault="00CC7B03">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4523C"/>
    <w:multiLevelType w:val="multilevel"/>
    <w:tmpl w:val="1E94523C"/>
    <w:lvl w:ilvl="0">
      <w:start w:val="1"/>
      <w:numFmt w:val="bullet"/>
      <w:lvlText w:val=""/>
      <w:lvlJc w:val="left"/>
      <w:pPr>
        <w:ind w:left="945" w:hanging="420"/>
      </w:pPr>
      <w:rPr>
        <w:rFonts w:ascii="Wingdings" w:hAnsi="Wingdings" w:hint="default"/>
      </w:rPr>
    </w:lvl>
    <w:lvl w:ilvl="1">
      <w:start w:val="1"/>
      <w:numFmt w:val="bullet"/>
      <w:lvlText w:val=""/>
      <w:lvlJc w:val="left"/>
      <w:pPr>
        <w:ind w:left="1365" w:hanging="420"/>
      </w:pPr>
      <w:rPr>
        <w:rFonts w:ascii="Wingdings" w:hAnsi="Wingdings" w:hint="default"/>
      </w:rPr>
    </w:lvl>
    <w:lvl w:ilvl="2">
      <w:start w:val="1"/>
      <w:numFmt w:val="bullet"/>
      <w:lvlText w:val=""/>
      <w:lvlJc w:val="left"/>
      <w:pPr>
        <w:ind w:left="1785" w:hanging="420"/>
      </w:pPr>
      <w:rPr>
        <w:rFonts w:ascii="Wingdings" w:hAnsi="Wingdings" w:hint="default"/>
      </w:rPr>
    </w:lvl>
    <w:lvl w:ilvl="3">
      <w:start w:val="1"/>
      <w:numFmt w:val="bullet"/>
      <w:lvlText w:val=""/>
      <w:lvlJc w:val="left"/>
      <w:pPr>
        <w:ind w:left="2205" w:hanging="420"/>
      </w:pPr>
      <w:rPr>
        <w:rFonts w:ascii="Wingdings" w:hAnsi="Wingdings" w:hint="default"/>
      </w:rPr>
    </w:lvl>
    <w:lvl w:ilvl="4">
      <w:start w:val="1"/>
      <w:numFmt w:val="bullet"/>
      <w:lvlText w:val=""/>
      <w:lvlJc w:val="left"/>
      <w:pPr>
        <w:ind w:left="2625" w:hanging="420"/>
      </w:pPr>
      <w:rPr>
        <w:rFonts w:ascii="Wingdings" w:hAnsi="Wingdings" w:hint="default"/>
      </w:rPr>
    </w:lvl>
    <w:lvl w:ilvl="5">
      <w:start w:val="1"/>
      <w:numFmt w:val="bullet"/>
      <w:lvlText w:val=""/>
      <w:lvlJc w:val="left"/>
      <w:pPr>
        <w:ind w:left="3045" w:hanging="420"/>
      </w:pPr>
      <w:rPr>
        <w:rFonts w:ascii="Wingdings" w:hAnsi="Wingdings" w:hint="default"/>
      </w:rPr>
    </w:lvl>
    <w:lvl w:ilvl="6">
      <w:start w:val="1"/>
      <w:numFmt w:val="bullet"/>
      <w:lvlText w:val=""/>
      <w:lvlJc w:val="left"/>
      <w:pPr>
        <w:ind w:left="3465" w:hanging="420"/>
      </w:pPr>
      <w:rPr>
        <w:rFonts w:ascii="Wingdings" w:hAnsi="Wingdings" w:hint="default"/>
      </w:rPr>
    </w:lvl>
    <w:lvl w:ilvl="7">
      <w:start w:val="1"/>
      <w:numFmt w:val="bullet"/>
      <w:lvlText w:val=""/>
      <w:lvlJc w:val="left"/>
      <w:pPr>
        <w:ind w:left="3885" w:hanging="420"/>
      </w:pPr>
      <w:rPr>
        <w:rFonts w:ascii="Wingdings" w:hAnsi="Wingdings" w:hint="default"/>
      </w:rPr>
    </w:lvl>
    <w:lvl w:ilvl="8">
      <w:start w:val="1"/>
      <w:numFmt w:val="bullet"/>
      <w:lvlText w:val=""/>
      <w:lvlJc w:val="left"/>
      <w:pPr>
        <w:ind w:left="4305" w:hanging="420"/>
      </w:pPr>
      <w:rPr>
        <w:rFonts w:ascii="Wingdings" w:hAnsi="Wingdings" w:hint="default"/>
      </w:rPr>
    </w:lvl>
  </w:abstractNum>
  <w:abstractNum w:abstractNumId="1" w15:restartNumberingAfterBreak="0">
    <w:nsid w:val="2B411CAC"/>
    <w:multiLevelType w:val="multilevel"/>
    <w:tmpl w:val="2B411CA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docVars>
    <w:docVar w:name="__Grammarly_42____i" w:val="H4sIAAAAAAAEAKtWckksSQxILCpxzi/NK1GyMqwFAAEhoTITAAAA"/>
    <w:docVar w:name="__Grammarly_42___1" w:val="H4sIAAAAAAAEAKtWcslP9kxRslIyNDY2NDEyMTa1tDS3NDY3NTJX0lEKTi0uzszPAykwrAUA3z3U+CwAAAA="/>
    <w:docVar w:name="commondata" w:val="eyJoZGlkIjoiM2QwMTEyNjM5MjAwNzZjOTZkMWNhMmY0OGEyYWJhMjMifQ=="/>
  </w:docVars>
  <w:rsids>
    <w:rsidRoot w:val="00D31D50"/>
    <w:rsid w:val="000008D9"/>
    <w:rsid w:val="00040E01"/>
    <w:rsid w:val="0005508E"/>
    <w:rsid w:val="000636B8"/>
    <w:rsid w:val="00085D04"/>
    <w:rsid w:val="00090B29"/>
    <w:rsid w:val="000E000E"/>
    <w:rsid w:val="000F1289"/>
    <w:rsid w:val="00126F29"/>
    <w:rsid w:val="0014562D"/>
    <w:rsid w:val="0014728C"/>
    <w:rsid w:val="00152951"/>
    <w:rsid w:val="00164509"/>
    <w:rsid w:val="001652C6"/>
    <w:rsid w:val="00166F3E"/>
    <w:rsid w:val="00180D0C"/>
    <w:rsid w:val="00197938"/>
    <w:rsid w:val="001A5702"/>
    <w:rsid w:val="001B05F8"/>
    <w:rsid w:val="001C42F9"/>
    <w:rsid w:val="001D464E"/>
    <w:rsid w:val="001E717A"/>
    <w:rsid w:val="001E76D9"/>
    <w:rsid w:val="002666CA"/>
    <w:rsid w:val="002937A8"/>
    <w:rsid w:val="002E0E61"/>
    <w:rsid w:val="002E7807"/>
    <w:rsid w:val="0030256B"/>
    <w:rsid w:val="00313403"/>
    <w:rsid w:val="00313999"/>
    <w:rsid w:val="00317495"/>
    <w:rsid w:val="0031790E"/>
    <w:rsid w:val="00322D19"/>
    <w:rsid w:val="003239A3"/>
    <w:rsid w:val="00323B43"/>
    <w:rsid w:val="003515DD"/>
    <w:rsid w:val="003518DA"/>
    <w:rsid w:val="0036581F"/>
    <w:rsid w:val="003771EA"/>
    <w:rsid w:val="00382660"/>
    <w:rsid w:val="003A2540"/>
    <w:rsid w:val="003A66EB"/>
    <w:rsid w:val="003A72EC"/>
    <w:rsid w:val="003C4E4B"/>
    <w:rsid w:val="003D37D8"/>
    <w:rsid w:val="003F6CBD"/>
    <w:rsid w:val="0040146B"/>
    <w:rsid w:val="00407267"/>
    <w:rsid w:val="004125D2"/>
    <w:rsid w:val="00414949"/>
    <w:rsid w:val="00426133"/>
    <w:rsid w:val="004358AB"/>
    <w:rsid w:val="004467AD"/>
    <w:rsid w:val="00450DE4"/>
    <w:rsid w:val="0045339A"/>
    <w:rsid w:val="00463857"/>
    <w:rsid w:val="004652D1"/>
    <w:rsid w:val="00467DEB"/>
    <w:rsid w:val="00473B89"/>
    <w:rsid w:val="004801DF"/>
    <w:rsid w:val="004901EE"/>
    <w:rsid w:val="004B1F53"/>
    <w:rsid w:val="004E6685"/>
    <w:rsid w:val="00521566"/>
    <w:rsid w:val="0054465E"/>
    <w:rsid w:val="00550840"/>
    <w:rsid w:val="00561615"/>
    <w:rsid w:val="00564D64"/>
    <w:rsid w:val="00565A0A"/>
    <w:rsid w:val="005772E2"/>
    <w:rsid w:val="005872BA"/>
    <w:rsid w:val="00593D5E"/>
    <w:rsid w:val="005A5149"/>
    <w:rsid w:val="00620049"/>
    <w:rsid w:val="00636070"/>
    <w:rsid w:val="006421C2"/>
    <w:rsid w:val="00646EF6"/>
    <w:rsid w:val="0065048F"/>
    <w:rsid w:val="006779DE"/>
    <w:rsid w:val="006878CD"/>
    <w:rsid w:val="0069230D"/>
    <w:rsid w:val="006958E4"/>
    <w:rsid w:val="00696B71"/>
    <w:rsid w:val="006B01DE"/>
    <w:rsid w:val="006C28F0"/>
    <w:rsid w:val="006D0E48"/>
    <w:rsid w:val="006F1C0C"/>
    <w:rsid w:val="00716A61"/>
    <w:rsid w:val="00716C8A"/>
    <w:rsid w:val="0073623D"/>
    <w:rsid w:val="007454D6"/>
    <w:rsid w:val="00747B3C"/>
    <w:rsid w:val="00750E15"/>
    <w:rsid w:val="00750FDF"/>
    <w:rsid w:val="007525B1"/>
    <w:rsid w:val="0075795A"/>
    <w:rsid w:val="0076141B"/>
    <w:rsid w:val="0077277E"/>
    <w:rsid w:val="00777960"/>
    <w:rsid w:val="00781E4B"/>
    <w:rsid w:val="007868F1"/>
    <w:rsid w:val="00787215"/>
    <w:rsid w:val="007A59FA"/>
    <w:rsid w:val="007D1E99"/>
    <w:rsid w:val="007D2C23"/>
    <w:rsid w:val="007D2F91"/>
    <w:rsid w:val="007D5B54"/>
    <w:rsid w:val="00807309"/>
    <w:rsid w:val="00817B0C"/>
    <w:rsid w:val="0082129F"/>
    <w:rsid w:val="0082226D"/>
    <w:rsid w:val="00826A22"/>
    <w:rsid w:val="00835D51"/>
    <w:rsid w:val="008366AE"/>
    <w:rsid w:val="008369AC"/>
    <w:rsid w:val="0084132B"/>
    <w:rsid w:val="008451EB"/>
    <w:rsid w:val="0085406F"/>
    <w:rsid w:val="008640A1"/>
    <w:rsid w:val="008671D2"/>
    <w:rsid w:val="0087218E"/>
    <w:rsid w:val="0087739B"/>
    <w:rsid w:val="008B7726"/>
    <w:rsid w:val="008D34CC"/>
    <w:rsid w:val="008D4774"/>
    <w:rsid w:val="008D7C98"/>
    <w:rsid w:val="008D7DF6"/>
    <w:rsid w:val="00906745"/>
    <w:rsid w:val="00925F8E"/>
    <w:rsid w:val="00971DDF"/>
    <w:rsid w:val="00975D7F"/>
    <w:rsid w:val="00996B2C"/>
    <w:rsid w:val="009A3226"/>
    <w:rsid w:val="009E7573"/>
    <w:rsid w:val="009F52AD"/>
    <w:rsid w:val="00A079C5"/>
    <w:rsid w:val="00A15770"/>
    <w:rsid w:val="00A67727"/>
    <w:rsid w:val="00A81C67"/>
    <w:rsid w:val="00A82BFE"/>
    <w:rsid w:val="00AC393E"/>
    <w:rsid w:val="00AC4758"/>
    <w:rsid w:val="00AD0619"/>
    <w:rsid w:val="00AF6099"/>
    <w:rsid w:val="00B0275C"/>
    <w:rsid w:val="00B104C5"/>
    <w:rsid w:val="00B2467B"/>
    <w:rsid w:val="00B343BF"/>
    <w:rsid w:val="00B354D9"/>
    <w:rsid w:val="00B37B89"/>
    <w:rsid w:val="00B42DE4"/>
    <w:rsid w:val="00B43984"/>
    <w:rsid w:val="00B66258"/>
    <w:rsid w:val="00B77396"/>
    <w:rsid w:val="00B82BB1"/>
    <w:rsid w:val="00B92E6B"/>
    <w:rsid w:val="00BA3981"/>
    <w:rsid w:val="00BA5D1A"/>
    <w:rsid w:val="00BF03D8"/>
    <w:rsid w:val="00BF0B4A"/>
    <w:rsid w:val="00BF4651"/>
    <w:rsid w:val="00C31BFF"/>
    <w:rsid w:val="00C41766"/>
    <w:rsid w:val="00C67AC0"/>
    <w:rsid w:val="00C71EAE"/>
    <w:rsid w:val="00C77D4C"/>
    <w:rsid w:val="00C83571"/>
    <w:rsid w:val="00C913E8"/>
    <w:rsid w:val="00C94D70"/>
    <w:rsid w:val="00CA0DB3"/>
    <w:rsid w:val="00CB43AA"/>
    <w:rsid w:val="00CB548B"/>
    <w:rsid w:val="00CB5817"/>
    <w:rsid w:val="00CC0509"/>
    <w:rsid w:val="00CC58AD"/>
    <w:rsid w:val="00CC78D1"/>
    <w:rsid w:val="00CC7B03"/>
    <w:rsid w:val="00CD4D79"/>
    <w:rsid w:val="00CD7ED8"/>
    <w:rsid w:val="00CE4005"/>
    <w:rsid w:val="00CE6F07"/>
    <w:rsid w:val="00CF39A0"/>
    <w:rsid w:val="00CF4EE6"/>
    <w:rsid w:val="00D31D50"/>
    <w:rsid w:val="00D329E4"/>
    <w:rsid w:val="00D34576"/>
    <w:rsid w:val="00D65014"/>
    <w:rsid w:val="00D72ED5"/>
    <w:rsid w:val="00D85412"/>
    <w:rsid w:val="00D91E25"/>
    <w:rsid w:val="00D92BA0"/>
    <w:rsid w:val="00DC65BA"/>
    <w:rsid w:val="00DD3426"/>
    <w:rsid w:val="00DD6A15"/>
    <w:rsid w:val="00E04670"/>
    <w:rsid w:val="00E06E1F"/>
    <w:rsid w:val="00E0749D"/>
    <w:rsid w:val="00E13B79"/>
    <w:rsid w:val="00E35FA2"/>
    <w:rsid w:val="00E62597"/>
    <w:rsid w:val="00E74612"/>
    <w:rsid w:val="00E9016E"/>
    <w:rsid w:val="00E96E32"/>
    <w:rsid w:val="00EA2967"/>
    <w:rsid w:val="00EA2F52"/>
    <w:rsid w:val="00ED5D87"/>
    <w:rsid w:val="00EE3B54"/>
    <w:rsid w:val="00EF2828"/>
    <w:rsid w:val="00F30D8B"/>
    <w:rsid w:val="00F343DE"/>
    <w:rsid w:val="00F35D5E"/>
    <w:rsid w:val="00F44038"/>
    <w:rsid w:val="00F510E8"/>
    <w:rsid w:val="00F512B5"/>
    <w:rsid w:val="00F57E0F"/>
    <w:rsid w:val="00F706F8"/>
    <w:rsid w:val="00F7641A"/>
    <w:rsid w:val="00F76B2D"/>
    <w:rsid w:val="00F95FF5"/>
    <w:rsid w:val="00F97EAF"/>
    <w:rsid w:val="00FB2D04"/>
    <w:rsid w:val="00FB60AE"/>
    <w:rsid w:val="00FD55BA"/>
    <w:rsid w:val="00FD56D8"/>
    <w:rsid w:val="00FE066C"/>
    <w:rsid w:val="03932496"/>
    <w:rsid w:val="044A05F0"/>
    <w:rsid w:val="0C611EE1"/>
    <w:rsid w:val="0F701892"/>
    <w:rsid w:val="165C2A29"/>
    <w:rsid w:val="1D2C7D9B"/>
    <w:rsid w:val="1D505E7D"/>
    <w:rsid w:val="2A43102E"/>
    <w:rsid w:val="2E0B315F"/>
    <w:rsid w:val="3D7A0D69"/>
    <w:rsid w:val="3EFD6BCF"/>
    <w:rsid w:val="40A3466C"/>
    <w:rsid w:val="45641667"/>
    <w:rsid w:val="48735212"/>
    <w:rsid w:val="4DBD747D"/>
    <w:rsid w:val="4E5E6DB8"/>
    <w:rsid w:val="58031788"/>
    <w:rsid w:val="59482454"/>
    <w:rsid w:val="5990110C"/>
    <w:rsid w:val="64510D19"/>
    <w:rsid w:val="697E7C3F"/>
    <w:rsid w:val="6DFB1B36"/>
    <w:rsid w:val="7F5D5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0C59"/>
  <w15:docId w15:val="{885272B1-0696-4643-B805-74609032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style>
  <w:style w:type="paragraph" w:styleId="a4">
    <w:name w:val="Balloon Text"/>
    <w:basedOn w:val="a"/>
    <w:link w:val="a5"/>
    <w:uiPriority w:val="99"/>
    <w:semiHidden/>
    <w:unhideWhenUsed/>
    <w:qFormat/>
    <w:pPr>
      <w:spacing w:after="0"/>
    </w:pPr>
    <w:rPr>
      <w:sz w:val="18"/>
      <w:szCs w:val="18"/>
    </w:rPr>
  </w:style>
  <w:style w:type="paragraph" w:styleId="a6">
    <w:name w:val="footer"/>
    <w:basedOn w:val="a"/>
    <w:link w:val="a7"/>
    <w:uiPriority w:val="99"/>
    <w:unhideWhenUsed/>
    <w:qFormat/>
    <w:pPr>
      <w:tabs>
        <w:tab w:val="center" w:pos="4153"/>
        <w:tab w:val="right" w:pos="8306"/>
      </w:tabs>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jc w:val="center"/>
    </w:pPr>
    <w:rPr>
      <w:sz w:val="18"/>
      <w:szCs w:val="18"/>
    </w:rPr>
  </w:style>
  <w:style w:type="character" w:styleId="aa">
    <w:name w:val="page number"/>
    <w:basedOn w:val="a0"/>
    <w:qFormat/>
  </w:style>
  <w:style w:type="character" w:styleId="ab">
    <w:name w:val="Hyperlink"/>
    <w:basedOn w:val="a0"/>
    <w:uiPriority w:val="99"/>
    <w:semiHidden/>
    <w:unhideWhenUsed/>
    <w:qFormat/>
    <w:rPr>
      <w:color w:val="0000FF"/>
      <w:u w:val="single"/>
    </w:rPr>
  </w:style>
  <w:style w:type="character" w:styleId="ac">
    <w:name w:val="annotation reference"/>
    <w:basedOn w:val="a0"/>
    <w:uiPriority w:val="99"/>
    <w:semiHidden/>
    <w:unhideWhenUsed/>
    <w:qFormat/>
    <w:rPr>
      <w:sz w:val="21"/>
      <w:szCs w:val="21"/>
    </w:rPr>
  </w:style>
  <w:style w:type="character" w:customStyle="1" w:styleId="a9">
    <w:name w:val="页眉 字符"/>
    <w:basedOn w:val="a0"/>
    <w:link w:val="a8"/>
    <w:uiPriority w:val="99"/>
    <w:qFormat/>
    <w:rPr>
      <w:rFonts w:ascii="Tahoma" w:hAnsi="Tahoma"/>
      <w:sz w:val="18"/>
      <w:szCs w:val="18"/>
    </w:rPr>
  </w:style>
  <w:style w:type="character" w:customStyle="1" w:styleId="a7">
    <w:name w:val="页脚 字符"/>
    <w:basedOn w:val="a0"/>
    <w:link w:val="a6"/>
    <w:uiPriority w:val="99"/>
    <w:qFormat/>
    <w:rPr>
      <w:rFonts w:ascii="Tahoma" w:hAnsi="Tahoma"/>
      <w:sz w:val="18"/>
      <w:szCs w:val="18"/>
    </w:rPr>
  </w:style>
  <w:style w:type="character" w:customStyle="1" w:styleId="a5">
    <w:name w:val="批注框文本 字符"/>
    <w:basedOn w:val="a0"/>
    <w:link w:val="a4"/>
    <w:uiPriority w:val="99"/>
    <w:semiHidden/>
    <w:qFormat/>
    <w:rPr>
      <w:rFonts w:ascii="Tahoma" w:hAnsi="Tahoma"/>
      <w:sz w:val="18"/>
      <w:szCs w:val="18"/>
    </w:rPr>
  </w:style>
  <w:style w:type="paragraph" w:styleId="ad">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Pan</cp:lastModifiedBy>
  <cp:revision>6</cp:revision>
  <cp:lastPrinted>2022-11-29T07:55:00Z</cp:lastPrinted>
  <dcterms:created xsi:type="dcterms:W3CDTF">2022-11-24T09:21:00Z</dcterms:created>
  <dcterms:modified xsi:type="dcterms:W3CDTF">2022-11-30T01:00:00Z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361ECDD14EBF4433A11ACC2BE02B1875</vt:lpwstr>
  </property>
</Properties>
</file>