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60" w:lineRule="exact"/>
        <w:rPr>
          <w:rFonts w:ascii="Times New Roman" w:hAnsi="Times New Roman"/>
          <w:b/>
          <w:color w:val="000000"/>
          <w:spacing w:val="0"/>
          <w:kern w:val="0"/>
          <w:sz w:val="32"/>
          <w:szCs w:val="32"/>
        </w:rPr>
      </w:pPr>
      <w:r>
        <w:rPr>
          <w:rFonts w:ascii="Times New Roman" w:hAnsi="Times New Roman"/>
          <w:b/>
          <w:color w:val="000000"/>
          <w:spacing w:val="0"/>
          <w:kern w:val="0"/>
          <w:sz w:val="32"/>
          <w:szCs w:val="32"/>
        </w:rPr>
        <w:t>附件</w:t>
      </w:r>
    </w:p>
    <w:p>
      <w:pPr>
        <w:keepNext w:val="0"/>
        <w:keepLines w:val="0"/>
        <w:pageBreakBefore w:val="0"/>
        <w:widowControl/>
        <w:shd w:val="clear" w:color="auto" w:fill="FFFFFF"/>
        <w:kinsoku/>
        <w:wordWrap/>
        <w:overflowPunct/>
        <w:topLinePunct w:val="0"/>
        <w:autoSpaceDE/>
        <w:autoSpaceDN/>
        <w:bidi w:val="0"/>
        <w:adjustRightInd w:val="0"/>
        <w:snapToGrid w:val="0"/>
        <w:spacing w:before="157" w:beforeLines="50" w:line="560" w:lineRule="exact"/>
        <w:jc w:val="center"/>
        <w:textAlignment w:val="auto"/>
        <w:rPr>
          <w:rFonts w:ascii="Times New Roman" w:hAnsi="Times New Roman" w:eastAsia="方正小标宋简体"/>
          <w:spacing w:val="0"/>
          <w:sz w:val="44"/>
          <w:szCs w:val="44"/>
        </w:rPr>
      </w:pPr>
      <w:r>
        <w:rPr>
          <w:rFonts w:hint="eastAsia" w:ascii="Times New Roman" w:hAnsi="Times New Roman" w:eastAsia="方正小标宋简体"/>
          <w:spacing w:val="0"/>
          <w:sz w:val="44"/>
          <w:szCs w:val="44"/>
        </w:rPr>
        <w:t>中国科学院2023年度继续教育与培训</w:t>
      </w:r>
      <w:r>
        <w:rPr>
          <w:rFonts w:hint="eastAsia" w:ascii="Times New Roman" w:hAnsi="Times New Roman" w:eastAsia="方正小标宋简体"/>
          <w:spacing w:val="0"/>
          <w:sz w:val="44"/>
          <w:szCs w:val="44"/>
        </w:rPr>
        <w:br w:type="textWrapping"/>
      </w:r>
      <w:r>
        <w:rPr>
          <w:rFonts w:hint="eastAsia" w:ascii="Times New Roman" w:hAnsi="Times New Roman" w:eastAsia="方正小标宋简体"/>
          <w:spacing w:val="0"/>
          <w:sz w:val="44"/>
          <w:szCs w:val="44"/>
        </w:rPr>
        <w:t>院级资助项目申报指南</w:t>
      </w: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t>为加强对各单位申报院级资助项目指导的科学性、规范性和针对性，人事局结合工作实际，制定了《中国科学院2023年度继续教育与培训院级资助项目申报指南》。</w:t>
      </w: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t>由研究所组织实施的专业技术类培训项目，按照</w:t>
      </w:r>
      <w:r>
        <w:rPr>
          <w:rFonts w:hint="eastAsia" w:ascii="Times New Roman" w:hAnsi="Times New Roman" w:eastAsia="仿宋_GB2312"/>
          <w:color w:val="000000"/>
          <w:spacing w:val="0"/>
          <w:kern w:val="0"/>
          <w:sz w:val="32"/>
          <w:szCs w:val="32"/>
        </w:rPr>
        <w:t>全院</w:t>
      </w:r>
      <w:r>
        <w:rPr>
          <w:rFonts w:ascii="Times New Roman" w:hAnsi="Times New Roman" w:eastAsia="仿宋_GB2312"/>
          <w:color w:val="000000"/>
          <w:spacing w:val="0"/>
          <w:kern w:val="0"/>
          <w:sz w:val="32"/>
          <w:szCs w:val="32"/>
        </w:rPr>
        <w:t>四级培训项目体系进行管理，即：所级培训项目（基础体系）、院级培育项目（培育体系）、精品培训项目（示范体系）和</w:t>
      </w: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高级研修项目（推广体系）。其中，各单位制定并报送院的2023年度培训计划，纳入所级培训项目进行管理；院级培育项目、精品培训项目和</w:t>
      </w: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高级研修项目纳入院级资助项目进行管理，各单位根据实际工作需求，须在年度培训计划报送工作中进行定向申报。具体申报要求如下：</w:t>
      </w:r>
    </w:p>
    <w:p>
      <w:pPr>
        <w:pStyle w:val="12"/>
        <w:widowControl/>
        <w:numPr>
          <w:ilvl w:val="0"/>
          <w:numId w:val="1"/>
        </w:numPr>
        <w:shd w:val="clear" w:color="auto" w:fill="FFFFFF"/>
        <w:adjustRightInd w:val="0"/>
        <w:snapToGrid w:val="0"/>
        <w:spacing w:before="156" w:beforeLines="50" w:after="156" w:afterLines="50" w:line="560" w:lineRule="exact"/>
        <w:ind w:firstLineChars="0"/>
        <w:rPr>
          <w:rFonts w:ascii="Times New Roman" w:hAnsi="Times New Roman" w:eastAsia="黑体"/>
          <w:b/>
          <w:color w:val="000000"/>
          <w:spacing w:val="0"/>
          <w:kern w:val="0"/>
          <w:sz w:val="32"/>
          <w:szCs w:val="32"/>
        </w:rPr>
      </w:pPr>
      <w:r>
        <w:rPr>
          <w:rFonts w:ascii="Times New Roman" w:hAnsi="Times New Roman" w:eastAsia="黑体"/>
          <w:b/>
          <w:color w:val="000000"/>
          <w:spacing w:val="0"/>
          <w:kern w:val="0"/>
          <w:sz w:val="32"/>
          <w:szCs w:val="32"/>
        </w:rPr>
        <w:t>关于“院级培育项目”申报</w:t>
      </w:r>
    </w:p>
    <w:p>
      <w:pPr>
        <w:widowControl/>
        <w:shd w:val="clear" w:color="auto" w:fill="FFFFFF"/>
        <w:adjustRightInd w:val="0"/>
        <w:snapToGrid w:val="0"/>
        <w:spacing w:line="560" w:lineRule="exact"/>
        <w:ind w:firstLine="672" w:firstLineChars="210"/>
        <w:rPr>
          <w:rFonts w:ascii="Times New Roman" w:hAnsi="Times New Roman" w:eastAsia="黑体"/>
          <w:b/>
          <w:color w:val="000000"/>
          <w:spacing w:val="0"/>
          <w:kern w:val="0"/>
          <w:sz w:val="32"/>
          <w:szCs w:val="32"/>
        </w:rPr>
      </w:pPr>
      <w:r>
        <w:rPr>
          <w:rFonts w:ascii="Times New Roman" w:hAnsi="Times New Roman" w:eastAsia="仿宋_GB2312"/>
          <w:color w:val="000000"/>
          <w:spacing w:val="0"/>
          <w:kern w:val="0"/>
          <w:sz w:val="32"/>
          <w:szCs w:val="32"/>
        </w:rPr>
        <w:t>院级培育项目是以所级培训项目为基础，研究所年度培训计划中的“专业技术研修班”“专项技术短期培训班”“学术讲坛”均可申报院级项目资助。</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（一）专业技术研修班</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1．申报要求</w:t>
      </w: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t>为加强科研人员队伍建设，促进相关学科领域的发展，为广大科研人员了解科学前沿新知识、新技术提供学术交流平台，不断更新知识，2023年院将继续择优资助研究所举办专业技术研修班。专业技术研修班时间不少于3天，参加人员为科研人员，采取主题报告、专题研讨、学术交流、现场教学等多种方式进行研修，培训内容以更新专业知识、拓展知识领域、提高科技创新能力为主。</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2．院级资助项目遴选原则</w:t>
      </w: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sz w:val="32"/>
          <w:szCs w:val="32"/>
        </w:rPr>
      </w:pPr>
      <w:r>
        <w:rPr>
          <w:rFonts w:ascii="Times New Roman" w:hAnsi="Times New Roman" w:eastAsia="仿宋_GB2312"/>
          <w:color w:val="000000"/>
          <w:spacing w:val="0"/>
          <w:kern w:val="0"/>
          <w:sz w:val="32"/>
          <w:szCs w:val="32"/>
        </w:rPr>
        <w:t>2023年，以院级培训经费资助的方式，计划遴选10个左右专业技术研修班纳入院级培育项目计划。重点支持方向见附表</w:t>
      </w:r>
      <w:r>
        <w:rPr>
          <w:rFonts w:hint="eastAsia" w:ascii="Times New Roman" w:hAnsi="Times New Roman" w:eastAsia="仿宋_GB2312"/>
          <w:color w:val="000000"/>
          <w:spacing w:val="0"/>
          <w:kern w:val="0"/>
          <w:sz w:val="32"/>
          <w:szCs w:val="32"/>
        </w:rPr>
        <w:t>（下同）</w:t>
      </w:r>
      <w:r>
        <w:rPr>
          <w:rFonts w:ascii="Times New Roman" w:hAnsi="Times New Roman" w:eastAsia="仿宋_GB2312"/>
          <w:color w:val="000000"/>
          <w:spacing w:val="0"/>
          <w:sz w:val="32"/>
          <w:szCs w:val="32"/>
        </w:rPr>
        <w:t>。</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3．申报方式</w:t>
      </w:r>
    </w:p>
    <w:p>
      <w:pPr>
        <w:widowControl/>
        <w:shd w:val="clear" w:color="auto" w:fill="FFFFFF"/>
        <w:adjustRightInd w:val="0"/>
        <w:snapToGrid w:val="0"/>
        <w:spacing w:line="560" w:lineRule="exact"/>
        <w:ind w:firstLine="672" w:firstLineChars="210"/>
        <w:rPr>
          <w:rFonts w:ascii="Times New Roman" w:hAnsi="Times New Roman" w:eastAsia="仿宋_GB2312"/>
          <w:b/>
          <w:color w:val="000000"/>
          <w:spacing w:val="0"/>
          <w:kern w:val="0"/>
          <w:sz w:val="32"/>
          <w:szCs w:val="32"/>
        </w:rPr>
      </w:pPr>
      <w:r>
        <w:rPr>
          <w:rFonts w:ascii="Times New Roman" w:hAnsi="Times New Roman" w:eastAsia="仿宋_GB2312"/>
          <w:color w:val="000000"/>
          <w:spacing w:val="0"/>
          <w:sz w:val="32"/>
          <w:szCs w:val="32"/>
        </w:rPr>
        <w:t>各单位2023年度院级培训项目资助须通过“中国科学院继续教育网”（www.casmooc.cn）进行线上申报，申报院经费资助的“专业技术研修班”培训计划，需在2023年培训计划申报系统中“是否申请资助”一栏选择“是”。</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（二）专项技术短期培训班</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1．申报要求</w:t>
      </w:r>
    </w:p>
    <w:p>
      <w:pPr>
        <w:widowControl/>
        <w:shd w:val="clear" w:color="auto" w:fill="FFFFFF"/>
        <w:adjustRightInd w:val="0"/>
        <w:snapToGrid w:val="0"/>
        <w:spacing w:line="560" w:lineRule="exact"/>
        <w:ind w:firstLine="672" w:firstLineChars="210"/>
        <w:rPr>
          <w:rFonts w:ascii="Times New Roman" w:hAnsi="Times New Roman" w:eastAsia="仿宋_GB2312"/>
          <w:b/>
          <w:color w:val="000000"/>
          <w:spacing w:val="0"/>
          <w:kern w:val="0"/>
          <w:sz w:val="32"/>
          <w:szCs w:val="32"/>
        </w:rPr>
      </w:pPr>
      <w:r>
        <w:rPr>
          <w:rFonts w:ascii="Times New Roman" w:hAnsi="Times New Roman" w:eastAsia="仿宋_GB2312"/>
          <w:color w:val="000000"/>
          <w:spacing w:val="0"/>
          <w:kern w:val="0"/>
          <w:sz w:val="32"/>
          <w:szCs w:val="32"/>
        </w:rPr>
        <w:t>为加强新时代高技能人才队伍建设，使科技人员适应科学技术的发展，不断掌握技术领域的新技能、新方法，开拓视野，提高科学实验技能和实验仪器的使用效能，2023年院继续择优支持研究所举办专项技术短期培训班。专项技术短期培训班时间不少于3天，以科技人员为主要培训对象，通过专项技术培训、专题讲座、技术观摩、实地考察和实践技能交流等形式，加强实验技术教学指导，提升其素质能力。鼓励各研究所联合施训，促进各类资源的协调与整合，实现培训资源的共享。</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2．院级资助项目遴选原则</w:t>
      </w: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t>2023年，以院级培训经费资助的方式，计划遴选10个左右专项技术短期培训班纳入院级培育项目计划。</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3．申报方式</w:t>
      </w:r>
    </w:p>
    <w:p>
      <w:pPr>
        <w:widowControl/>
        <w:shd w:val="clear" w:color="auto" w:fill="FFFFFF"/>
        <w:adjustRightInd w:val="0"/>
        <w:snapToGrid w:val="0"/>
        <w:spacing w:line="560" w:lineRule="exact"/>
        <w:ind w:firstLine="672" w:firstLineChars="210"/>
        <w:rPr>
          <w:rFonts w:ascii="Times New Roman" w:hAnsi="Times New Roman" w:eastAsia="仿宋_GB2312"/>
          <w:b/>
          <w:color w:val="000000"/>
          <w:spacing w:val="0"/>
          <w:kern w:val="0"/>
          <w:sz w:val="32"/>
          <w:szCs w:val="32"/>
        </w:rPr>
      </w:pPr>
      <w:r>
        <w:rPr>
          <w:rFonts w:ascii="Times New Roman" w:hAnsi="Times New Roman" w:eastAsia="仿宋_GB2312"/>
          <w:color w:val="000000"/>
          <w:spacing w:val="0"/>
          <w:sz w:val="32"/>
          <w:szCs w:val="32"/>
        </w:rPr>
        <w:t>各单位2023年度院级培训项目资助须通过“中国科学院继续教育网”进行线上申报，申报院经费资助的“专项技术短期培训班”培训计划，需在2023年培训计划申报系统中“是否申请资助”一栏选择“是”。</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（三）学术讲坛</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1．申报要求</w:t>
      </w:r>
    </w:p>
    <w:p>
      <w:pPr>
        <w:widowControl/>
        <w:shd w:val="clear" w:color="auto" w:fill="FFFFFF"/>
        <w:adjustRightInd w:val="0"/>
        <w:snapToGrid w:val="0"/>
        <w:spacing w:line="560" w:lineRule="exact"/>
        <w:ind w:firstLine="672" w:firstLineChars="210"/>
        <w:rPr>
          <w:rFonts w:ascii="Times New Roman" w:hAnsi="Times New Roman" w:eastAsia="仿宋_GB2312"/>
          <w:b/>
          <w:color w:val="000000"/>
          <w:spacing w:val="0"/>
          <w:kern w:val="0"/>
          <w:sz w:val="32"/>
          <w:szCs w:val="32"/>
        </w:rPr>
      </w:pPr>
      <w:r>
        <w:rPr>
          <w:rFonts w:ascii="Times New Roman" w:hAnsi="Times New Roman" w:eastAsia="仿宋_GB2312"/>
          <w:color w:val="000000"/>
          <w:spacing w:val="0"/>
          <w:kern w:val="0"/>
          <w:sz w:val="32"/>
          <w:szCs w:val="32"/>
        </w:rPr>
        <w:t>为帮助科技人员跟踪国际科学前沿，加强与国际一流科研机构的合作和交流，同时考虑到目前新冠肺炎疫情的影响，2023年院将继续鼓励研究所邀请国外一流科研机构或大学的知名专家、学者以在线</w:t>
      </w:r>
      <w:r>
        <w:rPr>
          <w:rFonts w:ascii="Times New Roman" w:hAnsi="Times New Roman" w:eastAsia="仿宋_GB2312"/>
          <w:bCs/>
          <w:color w:val="000000"/>
          <w:spacing w:val="0"/>
          <w:kern w:val="0"/>
          <w:sz w:val="32"/>
          <w:szCs w:val="32"/>
        </w:rPr>
        <w:t>直播</w:t>
      </w:r>
      <w:r>
        <w:rPr>
          <w:rFonts w:ascii="Times New Roman" w:hAnsi="Times New Roman" w:eastAsia="仿宋_GB2312"/>
          <w:color w:val="000000"/>
          <w:spacing w:val="0"/>
          <w:kern w:val="0"/>
          <w:sz w:val="32"/>
          <w:szCs w:val="32"/>
        </w:rPr>
        <w:t>等形式面向国内人员举办学术讲座或专题报告。单场讲座或报告学时不少于2学时，每年围绕相关主题不定期举办系列讲座或报告不少于6场。</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2．院级资助项目遴选原则</w:t>
      </w: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t>2023年，</w:t>
      </w:r>
      <w:r>
        <w:rPr>
          <w:rFonts w:ascii="Times New Roman" w:hAnsi="Times New Roman" w:eastAsia="仿宋_GB2312"/>
          <w:bCs/>
          <w:color w:val="000000"/>
          <w:spacing w:val="0"/>
          <w:kern w:val="0"/>
          <w:sz w:val="32"/>
          <w:szCs w:val="32"/>
        </w:rPr>
        <w:t>拟遴选并以专项技术支持的方式，</w:t>
      </w:r>
      <w:r>
        <w:rPr>
          <w:rFonts w:ascii="Times New Roman" w:hAnsi="Times New Roman" w:eastAsia="仿宋_GB2312"/>
          <w:color w:val="000000"/>
          <w:spacing w:val="0"/>
          <w:kern w:val="0"/>
          <w:sz w:val="32"/>
          <w:szCs w:val="32"/>
        </w:rPr>
        <w:t>计划遴选20个左右学术讲坛纳入院级培育项目计划。</w:t>
      </w:r>
      <w:r>
        <w:rPr>
          <w:rFonts w:ascii="Times New Roman" w:hAnsi="Times New Roman" w:eastAsia="仿宋_GB2312"/>
          <w:bCs/>
          <w:color w:val="000000"/>
          <w:spacing w:val="0"/>
          <w:kern w:val="0"/>
          <w:sz w:val="32"/>
          <w:szCs w:val="32"/>
        </w:rPr>
        <w:t>人事局提供课程拍摄制作、直播、开发线上培训专栏及推送服务，并在中国科学院继续教育网形成“学术前沿论坛”专题课程。</w:t>
      </w:r>
    </w:p>
    <w:p>
      <w:pPr>
        <w:widowControl/>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3．申报方式</w:t>
      </w:r>
    </w:p>
    <w:p>
      <w:pPr>
        <w:widowControl/>
        <w:shd w:val="clear" w:color="auto" w:fill="FFFFFF"/>
        <w:adjustRightInd w:val="0"/>
        <w:snapToGrid w:val="0"/>
        <w:spacing w:line="560" w:lineRule="exact"/>
        <w:ind w:firstLine="672" w:firstLineChars="210"/>
        <w:rPr>
          <w:rFonts w:ascii="Times New Roman" w:hAnsi="Times New Roman" w:eastAsia="仿宋_GB2312"/>
          <w:b/>
          <w:color w:val="000000"/>
          <w:spacing w:val="0"/>
          <w:kern w:val="0"/>
          <w:sz w:val="32"/>
          <w:szCs w:val="32"/>
        </w:rPr>
      </w:pPr>
      <w:r>
        <w:rPr>
          <w:rFonts w:ascii="Times New Roman" w:hAnsi="Times New Roman" w:eastAsia="仿宋_GB2312"/>
          <w:color w:val="000000"/>
          <w:spacing w:val="0"/>
          <w:sz w:val="32"/>
          <w:szCs w:val="32"/>
        </w:rPr>
        <w:t>各单位2023年度院级培训项目资助须通过“中国科学院继续教育网”进行线上申报，申报院专项技术支持的“学术讲坛”培训计划，需在2023年培训计划申报系统中“是否申请</w:t>
      </w:r>
      <w:r>
        <w:rPr>
          <w:rFonts w:hint="eastAsia" w:ascii="Times New Roman" w:hAnsi="Times New Roman" w:eastAsia="仿宋_GB2312"/>
          <w:color w:val="000000"/>
          <w:spacing w:val="0"/>
          <w:sz w:val="32"/>
          <w:szCs w:val="32"/>
        </w:rPr>
        <w:t>专项技术支持</w:t>
      </w:r>
      <w:r>
        <w:rPr>
          <w:rFonts w:ascii="Times New Roman" w:hAnsi="Times New Roman" w:eastAsia="仿宋_GB2312"/>
          <w:color w:val="000000"/>
          <w:spacing w:val="0"/>
          <w:sz w:val="32"/>
          <w:szCs w:val="32"/>
        </w:rPr>
        <w:t>”一栏选择“是”。</w:t>
      </w:r>
    </w:p>
    <w:p>
      <w:pPr>
        <w:widowControl/>
        <w:shd w:val="clear" w:color="auto" w:fill="FFFFFF"/>
        <w:adjustRightInd w:val="0"/>
        <w:snapToGrid w:val="0"/>
        <w:spacing w:before="156" w:beforeLines="50" w:after="156" w:afterLines="50" w:line="560" w:lineRule="exact"/>
        <w:ind w:firstLine="674" w:firstLineChars="210"/>
        <w:rPr>
          <w:rFonts w:ascii="Times New Roman" w:hAnsi="Times New Roman" w:eastAsia="黑体"/>
          <w:b/>
          <w:color w:val="000000"/>
          <w:spacing w:val="0"/>
          <w:kern w:val="0"/>
          <w:sz w:val="32"/>
          <w:szCs w:val="32"/>
        </w:rPr>
      </w:pPr>
      <w:r>
        <w:rPr>
          <w:rFonts w:ascii="Times New Roman" w:hAnsi="Times New Roman" w:eastAsia="黑体"/>
          <w:b/>
          <w:color w:val="000000"/>
          <w:spacing w:val="0"/>
          <w:kern w:val="0"/>
          <w:sz w:val="32"/>
          <w:szCs w:val="32"/>
        </w:rPr>
        <w:t>二、关于“精品培训项目”申报</w:t>
      </w: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t>精品培训项目是以院级培育项目为基础，研究所曾举办过的“精品培训项目”或获得过院级资助的“专业技术研修班”“专项技术短期培训班”等，可申报院精品培训项目。</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（一）申报要求</w:t>
      </w:r>
    </w:p>
    <w:p>
      <w:pPr>
        <w:shd w:val="clear" w:color="auto" w:fill="FFFFFF"/>
        <w:adjustRightInd w:val="0"/>
        <w:snapToGrid w:val="0"/>
        <w:spacing w:line="560" w:lineRule="exact"/>
        <w:ind w:firstLine="672" w:firstLineChars="210"/>
        <w:rPr>
          <w:rFonts w:ascii="Times New Roman" w:hAnsi="Times New Roman" w:eastAsia="楷体_GB2312"/>
          <w:b/>
          <w:color w:val="000000"/>
          <w:spacing w:val="0"/>
          <w:kern w:val="0"/>
          <w:sz w:val="32"/>
          <w:szCs w:val="32"/>
        </w:rPr>
      </w:pPr>
      <w:r>
        <w:rPr>
          <w:rFonts w:ascii="Times New Roman" w:hAnsi="Times New Roman" w:eastAsia="仿宋_GB2312"/>
          <w:color w:val="000000"/>
          <w:spacing w:val="0"/>
          <w:kern w:val="0"/>
          <w:sz w:val="32"/>
          <w:szCs w:val="32"/>
        </w:rPr>
        <w:t>培训班至少已举办过1次；培训班时间不少于4天，面向院内单位开放，参加学员不少于70人；培训内容有前瞻性、实用性和针对性，能够围绕“率先行动”计划第二阶段战略任务，注重面向原始创新、关键核心技术攻关相关领域科技人才的培养</w:t>
      </w:r>
      <w:r>
        <w:rPr>
          <w:rFonts w:ascii="Times New Roman" w:hAnsi="Times New Roman" w:eastAsia="仿宋_GB2312"/>
          <w:color w:val="000000"/>
          <w:spacing w:val="0"/>
          <w:sz w:val="32"/>
          <w:szCs w:val="32"/>
        </w:rPr>
        <w:t>，</w:t>
      </w:r>
      <w:r>
        <w:rPr>
          <w:rFonts w:ascii="Times New Roman" w:hAnsi="Times New Roman" w:eastAsia="仿宋_GB2312"/>
          <w:color w:val="000000"/>
          <w:spacing w:val="0"/>
          <w:kern w:val="0"/>
          <w:sz w:val="32"/>
          <w:szCs w:val="32"/>
        </w:rPr>
        <w:t>在本领域内可广泛共享；课程设置合理，创新培训方式方法；有相对稳定的高水平师资队伍；有自编特色培训教材；培训得到学员的广泛认可，有一定的社会影响力。</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（二）院级资助项目遴选原则</w:t>
      </w: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t>2023年，拟遴选并资助10个左右精品培训班。</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（三）申报方式</w:t>
      </w:r>
    </w:p>
    <w:p>
      <w:pPr>
        <w:shd w:val="clear" w:color="auto" w:fill="FFFFFF"/>
        <w:adjustRightInd w:val="0"/>
        <w:snapToGrid w:val="0"/>
        <w:spacing w:line="560" w:lineRule="exact"/>
        <w:ind w:firstLine="672" w:firstLineChars="210"/>
        <w:rPr>
          <w:rFonts w:ascii="Times New Roman" w:hAnsi="Times New Roman" w:eastAsia="仿宋_GB2312"/>
          <w:color w:val="000000"/>
          <w:spacing w:val="0"/>
          <w:sz w:val="32"/>
          <w:szCs w:val="32"/>
        </w:rPr>
      </w:pPr>
      <w:r>
        <w:rPr>
          <w:rFonts w:ascii="Times New Roman" w:hAnsi="Times New Roman" w:eastAsia="仿宋_GB2312"/>
          <w:color w:val="000000"/>
          <w:spacing w:val="0"/>
          <w:sz w:val="32"/>
          <w:szCs w:val="32"/>
        </w:rPr>
        <w:t>申报院经费资助的培训计划需在2023年培训计划申报系统中“是否申请资助”一栏选择“是”。申报院级精品培训项目的培训计划还需在“精品项目”一栏选择“是”，并在附件栏内上传往年举办的培训项目师资名单、课程设置清单、培训教材清单（不含PPT）、需求调研分析报告、效果评估总结以及宣传报道等相关材料。</w:t>
      </w:r>
      <w:r>
        <w:rPr>
          <w:rFonts w:ascii="Times New Roman" w:hAnsi="Times New Roman" w:eastAsia="仿宋_GB2312"/>
          <w:color w:val="000000"/>
          <w:spacing w:val="0"/>
          <w:kern w:val="0"/>
          <w:sz w:val="32"/>
          <w:szCs w:val="32"/>
        </w:rPr>
        <w:t>2022年已获院资助并组织实施完成的精品培训项目，如继续申请2023年院经费资助，可只需提交培训方案及教学计划材料。</w:t>
      </w:r>
    </w:p>
    <w:p>
      <w:pPr>
        <w:widowControl/>
        <w:shd w:val="clear" w:color="auto" w:fill="FFFFFF"/>
        <w:adjustRightInd w:val="0"/>
        <w:snapToGrid w:val="0"/>
        <w:spacing w:before="156" w:beforeLines="50" w:after="156" w:afterLines="50" w:line="560" w:lineRule="exact"/>
        <w:ind w:firstLine="674" w:firstLineChars="210"/>
        <w:rPr>
          <w:rFonts w:ascii="Times New Roman" w:hAnsi="Times New Roman" w:eastAsia="黑体"/>
          <w:b/>
          <w:color w:val="000000"/>
          <w:spacing w:val="0"/>
          <w:kern w:val="0"/>
          <w:sz w:val="32"/>
          <w:szCs w:val="32"/>
        </w:rPr>
      </w:pPr>
      <w:r>
        <w:rPr>
          <w:rFonts w:ascii="Times New Roman" w:hAnsi="Times New Roman" w:eastAsia="黑体"/>
          <w:b/>
          <w:color w:val="000000"/>
          <w:spacing w:val="0"/>
          <w:kern w:val="0"/>
          <w:sz w:val="32"/>
          <w:szCs w:val="32"/>
        </w:rPr>
        <w:t>三、关于“</w:t>
      </w:r>
      <w:r>
        <w:rPr>
          <w:rFonts w:hint="eastAsia" w:ascii="Times New Roman" w:hAnsi="Times New Roman" w:eastAsia="黑体"/>
          <w:b/>
          <w:color w:val="000000"/>
          <w:spacing w:val="0"/>
          <w:kern w:val="0"/>
          <w:sz w:val="32"/>
          <w:szCs w:val="32"/>
          <w:lang w:eastAsia="zh-CN"/>
        </w:rPr>
        <w:t>人力资源社会保障部</w:t>
      </w:r>
      <w:r>
        <w:rPr>
          <w:rFonts w:ascii="Times New Roman" w:hAnsi="Times New Roman" w:eastAsia="黑体"/>
          <w:b/>
          <w:color w:val="000000"/>
          <w:spacing w:val="0"/>
          <w:kern w:val="0"/>
          <w:sz w:val="32"/>
          <w:szCs w:val="32"/>
        </w:rPr>
        <w:t>高级研修项目”申报</w:t>
      </w:r>
    </w:p>
    <w:p>
      <w:pPr>
        <w:widowControl/>
        <w:shd w:val="clear" w:color="auto" w:fill="FFFFFF"/>
        <w:adjustRightInd w:val="0"/>
        <w:snapToGrid w:val="0"/>
        <w:spacing w:line="560" w:lineRule="exact"/>
        <w:ind w:firstLine="672" w:firstLineChars="210"/>
        <w:rPr>
          <w:rFonts w:ascii="Times New Roman" w:hAnsi="Times New Roman" w:eastAsia="黑体"/>
          <w:b/>
          <w:color w:val="000000"/>
          <w:spacing w:val="0"/>
          <w:kern w:val="0"/>
          <w:sz w:val="32"/>
          <w:szCs w:val="32"/>
        </w:rPr>
      </w:pP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高级研修项目是以精品培训项目为基础，研究所曾举办过的“精品培训项目”或“</w:t>
      </w: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高级研修项目”，可申报</w:t>
      </w: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高级研修项目。</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（一）申报要求</w:t>
      </w:r>
    </w:p>
    <w:p>
      <w:pPr>
        <w:widowControl/>
        <w:shd w:val="clear" w:color="auto" w:fill="FFFFFF"/>
        <w:adjustRightInd w:val="0"/>
        <w:snapToGrid w:val="0"/>
        <w:spacing w:line="560" w:lineRule="exact"/>
        <w:ind w:firstLine="672" w:firstLineChars="210"/>
        <w:rPr>
          <w:rFonts w:ascii="Times New Roman" w:hAnsi="Times New Roman" w:eastAsia="楷体_GB2312"/>
          <w:b/>
          <w:color w:val="000000"/>
          <w:spacing w:val="0"/>
          <w:kern w:val="0"/>
          <w:sz w:val="32"/>
          <w:szCs w:val="32"/>
        </w:rPr>
      </w:pPr>
      <w:r>
        <w:rPr>
          <w:rFonts w:ascii="Times New Roman" w:hAnsi="Times New Roman" w:eastAsia="仿宋_GB2312"/>
          <w:color w:val="000000"/>
          <w:spacing w:val="0"/>
          <w:kern w:val="0"/>
          <w:sz w:val="32"/>
          <w:szCs w:val="32"/>
        </w:rPr>
        <w:t>为加强我国专业技术人才队伍建设，推动专业技术人员继续教育工作，每年年初，人力资源社会保障部会向全国征集当年度新一批的专业技术人才知识更新工程高级研修项目。入选项目需要按照高水平、小规模、重特色的要求组织实施，</w:t>
      </w:r>
      <w:r>
        <w:rPr>
          <w:rFonts w:ascii="Times New Roman" w:hAnsi="Times New Roman" w:eastAsia="仿宋_GB2312"/>
          <w:bCs/>
          <w:color w:val="000000"/>
          <w:spacing w:val="0"/>
          <w:kern w:val="0"/>
          <w:sz w:val="32"/>
          <w:szCs w:val="32"/>
        </w:rPr>
        <w:t>每期高级研修项目研修时间需5天左右，培训人次需100人左右</w:t>
      </w:r>
      <w:r>
        <w:rPr>
          <w:rFonts w:ascii="Times New Roman" w:hAnsi="Times New Roman" w:eastAsia="仿宋_GB2312"/>
          <w:color w:val="000000"/>
          <w:spacing w:val="0"/>
          <w:kern w:val="0"/>
          <w:sz w:val="32"/>
          <w:szCs w:val="32"/>
        </w:rPr>
        <w:t>，参训学员结业时可获得</w:t>
      </w: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颁发的结业证书。</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（二）项目资助及遴选原则</w:t>
      </w:r>
    </w:p>
    <w:p>
      <w:pPr>
        <w:widowControl/>
        <w:shd w:val="clear" w:color="auto" w:fill="FFFFFF"/>
        <w:adjustRightInd w:val="0"/>
        <w:snapToGrid w:val="0"/>
        <w:spacing w:line="560" w:lineRule="exact"/>
        <w:ind w:firstLine="672" w:firstLineChars="210"/>
        <w:rPr>
          <w:rFonts w:ascii="Times New Roman" w:hAnsi="Times New Roman" w:eastAsia="仿宋_GB2312"/>
          <w:b/>
          <w:color w:val="000000"/>
          <w:spacing w:val="0"/>
          <w:kern w:val="0"/>
          <w:sz w:val="32"/>
          <w:szCs w:val="32"/>
        </w:rPr>
      </w:pPr>
      <w:r>
        <w:rPr>
          <w:rFonts w:ascii="Times New Roman" w:hAnsi="Times New Roman" w:eastAsia="仿宋_GB2312"/>
          <w:color w:val="000000"/>
          <w:spacing w:val="0"/>
          <w:kern w:val="0"/>
          <w:sz w:val="32"/>
          <w:szCs w:val="32"/>
        </w:rPr>
        <w:t>2023年，面向研究所计划遴选5个左右</w:t>
      </w: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高级研修项目。各单位申报的高级研修项目由人事局统一报送</w:t>
      </w: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进行遴选，入选项目纳入</w:t>
      </w:r>
      <w:r>
        <w:rPr>
          <w:rFonts w:hint="eastAsia" w:ascii="Times New Roman" w:hAnsi="Times New Roman" w:eastAsia="仿宋_GB2312"/>
          <w:color w:val="000000"/>
          <w:spacing w:val="0"/>
          <w:kern w:val="0"/>
          <w:sz w:val="32"/>
          <w:szCs w:val="32"/>
          <w:lang w:eastAsia="zh-CN"/>
        </w:rPr>
        <w:t>人力资源社会保障部</w:t>
      </w:r>
      <w:r>
        <w:rPr>
          <w:rFonts w:ascii="Times New Roman" w:hAnsi="Times New Roman" w:eastAsia="仿宋_GB2312"/>
          <w:color w:val="000000"/>
          <w:spacing w:val="0"/>
          <w:kern w:val="0"/>
          <w:sz w:val="32"/>
          <w:szCs w:val="32"/>
        </w:rPr>
        <w:t>当年度高级研修项目计划管理，经费采取自筹经费的方式予以保障。为支持我院单位积极申报此项目，院将对入选自筹经费项目的单位给予最高15万/个的经费补助支持。承办单位申报的高级研修项目按院精品培训项目进行管理。</w:t>
      </w:r>
      <w:r>
        <w:rPr>
          <w:rFonts w:ascii="Times New Roman" w:hAnsi="Times New Roman" w:eastAsia="仿宋_GB2312"/>
          <w:color w:val="000000"/>
          <w:spacing w:val="0"/>
          <w:sz w:val="32"/>
          <w:szCs w:val="32"/>
        </w:rPr>
        <w:t>2022年选题范围</w:t>
      </w:r>
      <w:r>
        <w:rPr>
          <w:rFonts w:ascii="Times New Roman" w:hAnsi="Times New Roman" w:eastAsia="仿宋_GB2312"/>
          <w:color w:val="000000"/>
          <w:spacing w:val="0"/>
          <w:kern w:val="0"/>
          <w:sz w:val="32"/>
          <w:szCs w:val="32"/>
        </w:rPr>
        <w:t>见附表。</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（三）相关要求</w:t>
      </w:r>
    </w:p>
    <w:p>
      <w:pPr>
        <w:shd w:val="clear" w:color="auto" w:fill="FFFFFF"/>
        <w:adjustRightInd w:val="0"/>
        <w:snapToGrid w:val="0"/>
        <w:spacing w:line="560" w:lineRule="exact"/>
        <w:ind w:firstLine="672" w:firstLineChars="210"/>
        <w:rPr>
          <w:rFonts w:ascii="Times New Roman" w:hAnsi="Times New Roman" w:eastAsia="楷体_GB2312"/>
          <w:b/>
          <w:color w:val="000000"/>
          <w:spacing w:val="0"/>
          <w:kern w:val="0"/>
          <w:sz w:val="32"/>
          <w:szCs w:val="32"/>
        </w:rPr>
      </w:pPr>
      <w:r>
        <w:rPr>
          <w:rFonts w:hint="eastAsia" w:ascii="Times New Roman" w:hAnsi="Times New Roman" w:eastAsia="仿宋_GB2312"/>
          <w:color w:val="000000"/>
          <w:spacing w:val="0"/>
          <w:sz w:val="32"/>
          <w:szCs w:val="32"/>
        </w:rPr>
        <w:t>申报院资助的培训计划可同时申报</w:t>
      </w:r>
      <w:r>
        <w:rPr>
          <w:rFonts w:hint="eastAsia" w:ascii="Times New Roman" w:hAnsi="Times New Roman" w:eastAsia="仿宋_GB2312"/>
          <w:color w:val="000000"/>
          <w:spacing w:val="0"/>
          <w:sz w:val="32"/>
          <w:szCs w:val="32"/>
          <w:lang w:eastAsia="zh-CN"/>
        </w:rPr>
        <w:t>人力资源社会保障部</w:t>
      </w:r>
      <w:r>
        <w:rPr>
          <w:rFonts w:hint="eastAsia" w:ascii="Times New Roman" w:hAnsi="Times New Roman" w:eastAsia="仿宋_GB2312"/>
          <w:color w:val="000000"/>
          <w:spacing w:val="0"/>
          <w:sz w:val="32"/>
          <w:szCs w:val="32"/>
        </w:rPr>
        <w:t>高级研修项目，且每个单位最多申报一项，一旦获批将不得撤销，须按</w:t>
      </w:r>
      <w:r>
        <w:rPr>
          <w:rFonts w:hint="eastAsia" w:ascii="Times New Roman" w:hAnsi="Times New Roman" w:eastAsia="仿宋_GB2312"/>
          <w:color w:val="000000"/>
          <w:spacing w:val="0"/>
          <w:sz w:val="32"/>
          <w:szCs w:val="32"/>
          <w:lang w:eastAsia="zh-CN"/>
        </w:rPr>
        <w:t>人力资源社会保障部</w:t>
      </w:r>
      <w:r>
        <w:rPr>
          <w:rFonts w:hint="eastAsia" w:ascii="Times New Roman" w:hAnsi="Times New Roman" w:eastAsia="仿宋_GB2312"/>
          <w:color w:val="000000"/>
          <w:spacing w:val="0"/>
          <w:sz w:val="32"/>
          <w:szCs w:val="32"/>
        </w:rPr>
        <w:t>高级研修项目要求组织实施（相关要求详见</w:t>
      </w:r>
      <w:r>
        <w:rPr>
          <w:rFonts w:ascii="Times New Roman" w:hAnsi="Times New Roman" w:eastAsia="仿宋_GB2312"/>
          <w:color w:val="000000"/>
          <w:spacing w:val="0"/>
          <w:sz w:val="32"/>
          <w:szCs w:val="32"/>
        </w:rPr>
        <w:t>2023</w:t>
      </w:r>
      <w:r>
        <w:rPr>
          <w:rFonts w:hint="eastAsia" w:ascii="Times New Roman" w:hAnsi="Times New Roman" w:eastAsia="仿宋_GB2312"/>
          <w:color w:val="000000"/>
          <w:spacing w:val="0"/>
          <w:sz w:val="32"/>
          <w:szCs w:val="32"/>
        </w:rPr>
        <w:t>年</w:t>
      </w:r>
      <w:r>
        <w:rPr>
          <w:rFonts w:hint="eastAsia" w:ascii="Times New Roman" w:hAnsi="Times New Roman" w:eastAsia="仿宋_GB2312"/>
          <w:color w:val="000000"/>
          <w:spacing w:val="0"/>
          <w:sz w:val="32"/>
          <w:szCs w:val="32"/>
          <w:lang w:eastAsia="zh-CN"/>
        </w:rPr>
        <w:t>人力资源社会保障部</w:t>
      </w:r>
      <w:r>
        <w:rPr>
          <w:rFonts w:hint="eastAsia" w:ascii="Times New Roman" w:hAnsi="Times New Roman" w:eastAsia="仿宋_GB2312"/>
          <w:color w:val="000000"/>
          <w:spacing w:val="0"/>
          <w:sz w:val="32"/>
          <w:szCs w:val="32"/>
        </w:rPr>
        <w:t>发布的入选通知）。</w:t>
      </w:r>
    </w:p>
    <w:p>
      <w:pPr>
        <w:shd w:val="clear" w:color="auto" w:fill="FFFFFF"/>
        <w:adjustRightInd w:val="0"/>
        <w:snapToGrid w:val="0"/>
        <w:spacing w:line="560" w:lineRule="exact"/>
        <w:ind w:firstLine="674" w:firstLineChars="210"/>
        <w:rPr>
          <w:rFonts w:ascii="Times New Roman" w:hAnsi="Times New Roman" w:eastAsia="仿宋_GB2312"/>
          <w:b/>
          <w:color w:val="000000"/>
          <w:spacing w:val="0"/>
          <w:kern w:val="0"/>
          <w:sz w:val="32"/>
          <w:szCs w:val="32"/>
        </w:rPr>
      </w:pPr>
      <w:r>
        <w:rPr>
          <w:rFonts w:ascii="Times New Roman" w:hAnsi="Times New Roman" w:eastAsia="仿宋_GB2312"/>
          <w:b/>
          <w:color w:val="000000"/>
          <w:spacing w:val="0"/>
          <w:kern w:val="0"/>
          <w:sz w:val="32"/>
          <w:szCs w:val="32"/>
        </w:rPr>
        <w:t>（四）申报方式</w:t>
      </w:r>
    </w:p>
    <w:p>
      <w:pPr>
        <w:shd w:val="clear" w:color="auto" w:fill="FFFFFF"/>
        <w:adjustRightInd w:val="0"/>
        <w:snapToGrid w:val="0"/>
        <w:spacing w:line="560" w:lineRule="exact"/>
        <w:ind w:firstLine="672" w:firstLineChars="210"/>
        <w:rPr>
          <w:rFonts w:ascii="Times New Roman" w:hAnsi="Times New Roman" w:eastAsia="仿宋_GB2312"/>
          <w:color w:val="000000"/>
          <w:spacing w:val="0"/>
          <w:sz w:val="32"/>
          <w:szCs w:val="32"/>
        </w:rPr>
      </w:pPr>
      <w:r>
        <w:rPr>
          <w:rFonts w:ascii="Times New Roman" w:hAnsi="Times New Roman" w:eastAsia="仿宋_GB2312"/>
          <w:color w:val="000000"/>
          <w:spacing w:val="0"/>
          <w:sz w:val="32"/>
          <w:szCs w:val="32"/>
        </w:rPr>
        <w:t>申报院经费资助的培训计划需在2023年培训计划申报系统中“是否申请资助”一栏选择“是”。申报</w:t>
      </w:r>
      <w:r>
        <w:rPr>
          <w:rFonts w:hint="eastAsia" w:ascii="Times New Roman" w:hAnsi="Times New Roman" w:eastAsia="仿宋_GB2312"/>
          <w:color w:val="000000"/>
          <w:spacing w:val="0"/>
          <w:sz w:val="32"/>
          <w:szCs w:val="32"/>
          <w:lang w:eastAsia="zh-CN"/>
        </w:rPr>
        <w:t>人力资源社会保障部</w:t>
      </w:r>
      <w:r>
        <w:rPr>
          <w:rFonts w:ascii="Times New Roman" w:hAnsi="Times New Roman" w:eastAsia="仿宋_GB2312"/>
          <w:color w:val="000000"/>
          <w:spacing w:val="0"/>
          <w:sz w:val="32"/>
          <w:szCs w:val="32"/>
        </w:rPr>
        <w:t>高级研修项目的培训计划需在“是否精品”一栏选择相应项目类型，并选择“同时申报</w:t>
      </w:r>
      <w:r>
        <w:rPr>
          <w:rFonts w:hint="eastAsia" w:ascii="Times New Roman" w:hAnsi="Times New Roman" w:eastAsia="仿宋_GB2312"/>
          <w:color w:val="000000"/>
          <w:spacing w:val="0"/>
          <w:sz w:val="32"/>
          <w:szCs w:val="32"/>
          <w:lang w:eastAsia="zh-CN"/>
        </w:rPr>
        <w:t>人力资源社会保障部</w:t>
      </w:r>
      <w:r>
        <w:rPr>
          <w:rFonts w:ascii="Times New Roman" w:hAnsi="Times New Roman" w:eastAsia="仿宋_GB2312"/>
          <w:color w:val="000000"/>
          <w:spacing w:val="0"/>
          <w:sz w:val="32"/>
          <w:szCs w:val="32"/>
        </w:rPr>
        <w:t>高研项目”。</w:t>
      </w:r>
    </w:p>
    <w:p>
      <w:pPr>
        <w:shd w:val="clear" w:color="auto" w:fill="FFFFFF"/>
        <w:adjustRightInd w:val="0"/>
        <w:snapToGrid w:val="0"/>
        <w:spacing w:line="560" w:lineRule="exact"/>
        <w:ind w:firstLine="674" w:firstLineChars="210"/>
        <w:rPr>
          <w:rFonts w:ascii="Times New Roman" w:hAnsi="Times New Roman" w:eastAsia="楷体_GB2312"/>
          <w:b/>
          <w:color w:val="000000"/>
          <w:spacing w:val="0"/>
          <w:kern w:val="0"/>
          <w:sz w:val="32"/>
          <w:szCs w:val="32"/>
        </w:rPr>
      </w:pPr>
    </w:p>
    <w:p>
      <w:pPr>
        <w:widowControl/>
        <w:shd w:val="clear" w:color="auto" w:fill="FFFFFF"/>
        <w:adjustRightInd w:val="0"/>
        <w:snapToGrid w:val="0"/>
        <w:spacing w:line="560" w:lineRule="exact"/>
        <w:ind w:firstLine="672" w:firstLineChars="210"/>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t>附表：培训项目体系及</w:t>
      </w:r>
      <w:bookmarkStart w:id="0" w:name="_GoBack"/>
      <w:bookmarkEnd w:id="0"/>
      <w:r>
        <w:rPr>
          <w:rFonts w:ascii="Times New Roman" w:hAnsi="Times New Roman" w:eastAsia="仿宋_GB2312"/>
          <w:color w:val="000000"/>
          <w:spacing w:val="0"/>
          <w:kern w:val="0"/>
          <w:sz w:val="32"/>
          <w:szCs w:val="32"/>
        </w:rPr>
        <w:t>院级资助重点支持方向</w:t>
      </w:r>
    </w:p>
    <w:p>
      <w:pPr>
        <w:widowControl/>
        <w:jc w:val="left"/>
        <w:rPr>
          <w:rFonts w:ascii="Times New Roman" w:hAnsi="Times New Roman" w:eastAsia="仿宋_GB2312"/>
          <w:color w:val="000000"/>
          <w:spacing w:val="0"/>
          <w:kern w:val="0"/>
          <w:sz w:val="32"/>
          <w:szCs w:val="32"/>
        </w:rPr>
      </w:pPr>
      <w:r>
        <w:rPr>
          <w:rFonts w:ascii="Times New Roman" w:hAnsi="Times New Roman" w:eastAsia="仿宋_GB2312"/>
          <w:color w:val="000000"/>
          <w:spacing w:val="0"/>
          <w:kern w:val="0"/>
          <w:sz w:val="32"/>
          <w:szCs w:val="32"/>
        </w:rPr>
        <w:br w:type="page"/>
      </w:r>
    </w:p>
    <w:p>
      <w:pPr>
        <w:widowControl/>
        <w:shd w:val="clear" w:color="auto" w:fill="FFFFFF"/>
        <w:adjustRightInd w:val="0"/>
        <w:snapToGrid w:val="0"/>
        <w:spacing w:line="560" w:lineRule="exact"/>
        <w:rPr>
          <w:rFonts w:ascii="Times New Roman" w:hAnsi="Times New Roman"/>
          <w:b/>
          <w:color w:val="000000"/>
          <w:spacing w:val="0"/>
          <w:kern w:val="0"/>
          <w:sz w:val="32"/>
          <w:szCs w:val="32"/>
        </w:rPr>
      </w:pPr>
      <w:r>
        <w:rPr>
          <w:rFonts w:ascii="Times New Roman" w:hAnsi="Times New Roman"/>
          <w:b/>
          <w:color w:val="000000"/>
          <w:spacing w:val="0"/>
          <w:kern w:val="0"/>
          <w:sz w:val="32"/>
          <w:szCs w:val="32"/>
        </w:rPr>
        <w:t>附表</w:t>
      </w:r>
    </w:p>
    <w:p>
      <w:pPr>
        <w:widowControl/>
        <w:shd w:val="clear" w:color="auto" w:fill="FFFFFF"/>
        <w:adjustRightInd w:val="0"/>
        <w:snapToGrid w:val="0"/>
        <w:spacing w:before="156" w:beforeLines="50" w:after="156" w:afterLines="50" w:line="560" w:lineRule="exact"/>
        <w:jc w:val="center"/>
        <w:rPr>
          <w:rFonts w:ascii="Times New Roman" w:hAnsi="Times New Roman" w:eastAsia="方正小标宋简体"/>
          <w:spacing w:val="0"/>
          <w:sz w:val="44"/>
          <w:szCs w:val="44"/>
        </w:rPr>
      </w:pPr>
      <w:r>
        <w:rPr>
          <w:rFonts w:ascii="Times New Roman" w:hAnsi="Times New Roman" w:eastAsia="方正小标宋简体"/>
          <w:spacing w:val="0"/>
          <w:sz w:val="44"/>
          <w:szCs w:val="44"/>
        </w:rPr>
        <w:t>培训项目体系及院级资助重点支持方向</w:t>
      </w:r>
    </w:p>
    <w:tbl>
      <w:tblPr>
        <w:tblStyle w:val="6"/>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696"/>
        <w:gridCol w:w="1114"/>
        <w:gridCol w:w="6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14" w:type="dxa"/>
            <w:vAlign w:val="center"/>
          </w:tcPr>
          <w:p>
            <w:pPr>
              <w:widowControl/>
              <w:shd w:val="clear" w:color="auto" w:fill="FFFFFF"/>
              <w:adjustRightInd w:val="0"/>
              <w:snapToGrid w:val="0"/>
              <w:spacing w:line="400" w:lineRule="exact"/>
              <w:jc w:val="center"/>
              <w:rPr>
                <w:rFonts w:ascii="Times New Roman" w:hAnsi="Times New Roman" w:eastAsia="仿宋_GB2312"/>
                <w:b/>
                <w:color w:val="000000"/>
                <w:spacing w:val="0"/>
                <w:kern w:val="0"/>
                <w:sz w:val="28"/>
                <w:szCs w:val="28"/>
              </w:rPr>
            </w:pPr>
            <w:r>
              <w:rPr>
                <w:rFonts w:ascii="Times New Roman" w:hAnsi="Times New Roman" w:eastAsia="仿宋_GB2312"/>
                <w:b/>
                <w:color w:val="000000"/>
                <w:spacing w:val="0"/>
                <w:kern w:val="0"/>
                <w:sz w:val="28"/>
                <w:szCs w:val="28"/>
              </w:rPr>
              <w:t>项目体系</w:t>
            </w:r>
          </w:p>
        </w:tc>
        <w:tc>
          <w:tcPr>
            <w:tcW w:w="1810" w:type="dxa"/>
            <w:gridSpan w:val="2"/>
            <w:vAlign w:val="center"/>
          </w:tcPr>
          <w:p>
            <w:pPr>
              <w:widowControl/>
              <w:shd w:val="clear" w:color="auto" w:fill="FFFFFF"/>
              <w:adjustRightInd w:val="0"/>
              <w:snapToGrid w:val="0"/>
              <w:spacing w:line="400" w:lineRule="exact"/>
              <w:jc w:val="center"/>
              <w:rPr>
                <w:rFonts w:ascii="Times New Roman" w:hAnsi="Times New Roman" w:eastAsia="仿宋_GB2312"/>
                <w:b/>
                <w:color w:val="000000"/>
                <w:spacing w:val="0"/>
                <w:kern w:val="0"/>
                <w:sz w:val="28"/>
                <w:szCs w:val="28"/>
              </w:rPr>
            </w:pPr>
            <w:r>
              <w:rPr>
                <w:rFonts w:ascii="Times New Roman" w:hAnsi="Times New Roman" w:eastAsia="仿宋_GB2312"/>
                <w:b/>
                <w:color w:val="000000"/>
                <w:spacing w:val="0"/>
                <w:kern w:val="0"/>
                <w:sz w:val="28"/>
                <w:szCs w:val="28"/>
              </w:rPr>
              <w:t>计划类别</w:t>
            </w:r>
          </w:p>
        </w:tc>
        <w:tc>
          <w:tcPr>
            <w:tcW w:w="6736" w:type="dxa"/>
            <w:vAlign w:val="center"/>
          </w:tcPr>
          <w:p>
            <w:pPr>
              <w:widowControl/>
              <w:shd w:val="clear" w:color="auto" w:fill="FFFFFF"/>
              <w:adjustRightInd w:val="0"/>
              <w:snapToGrid w:val="0"/>
              <w:spacing w:line="400" w:lineRule="exact"/>
              <w:ind w:firstLine="534" w:firstLineChars="190"/>
              <w:jc w:val="center"/>
              <w:rPr>
                <w:rFonts w:ascii="Times New Roman" w:hAnsi="Times New Roman" w:eastAsia="仿宋_GB2312"/>
                <w:b/>
                <w:color w:val="000000"/>
                <w:spacing w:val="0"/>
                <w:kern w:val="0"/>
                <w:sz w:val="28"/>
                <w:szCs w:val="28"/>
              </w:rPr>
            </w:pPr>
            <w:r>
              <w:rPr>
                <w:rFonts w:ascii="Times New Roman" w:hAnsi="Times New Roman" w:eastAsia="仿宋_GB2312"/>
                <w:b/>
                <w:color w:val="000000"/>
                <w:spacing w:val="0"/>
                <w:kern w:val="0"/>
                <w:sz w:val="28"/>
                <w:szCs w:val="28"/>
              </w:rPr>
              <w:t>重点支持方向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4" w:type="dxa"/>
            <w:vAlign w:val="center"/>
          </w:tcPr>
          <w:p>
            <w:pPr>
              <w:widowControl/>
              <w:shd w:val="clear" w:color="auto" w:fill="FFFFFF"/>
              <w:adjustRightInd w:val="0"/>
              <w:snapToGrid w:val="0"/>
              <w:spacing w:line="400" w:lineRule="exact"/>
              <w:ind w:left="-380" w:leftChars="-200" w:firstLine="378" w:firstLineChars="135"/>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基础体系</w:t>
            </w:r>
          </w:p>
          <w:p>
            <w:pPr>
              <w:widowControl/>
              <w:shd w:val="clear" w:color="auto" w:fill="FFFFFF"/>
              <w:adjustRightInd w:val="0"/>
              <w:snapToGrid w:val="0"/>
              <w:spacing w:line="400" w:lineRule="exact"/>
              <w:ind w:left="-380" w:leftChars="-200" w:right="-154" w:rightChars="-81" w:firstLine="268" w:firstLineChars="96"/>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（所管理）</w:t>
            </w:r>
          </w:p>
        </w:tc>
        <w:tc>
          <w:tcPr>
            <w:tcW w:w="1810" w:type="dxa"/>
            <w:gridSpan w:val="2"/>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所级</w:t>
            </w:r>
          </w:p>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培训项目</w:t>
            </w:r>
          </w:p>
        </w:tc>
        <w:tc>
          <w:tcPr>
            <w:tcW w:w="6736" w:type="dxa"/>
            <w:vAlign w:val="center"/>
          </w:tcPr>
          <w:p>
            <w:pPr>
              <w:widowControl/>
              <w:shd w:val="clear" w:color="auto" w:fill="FFFFFF"/>
              <w:adjustRightInd w:val="0"/>
              <w:snapToGrid w:val="0"/>
              <w:spacing w:line="400" w:lineRule="exact"/>
              <w:ind w:firstLine="532" w:firstLineChars="190"/>
              <w:jc w:val="left"/>
              <w:rPr>
                <w:rFonts w:ascii="Times New Roman" w:hAnsi="Times New Roman" w:eastAsia="仿宋_GB2312"/>
                <w:b/>
                <w:color w:val="000000"/>
                <w:spacing w:val="0"/>
                <w:kern w:val="0"/>
                <w:sz w:val="28"/>
                <w:szCs w:val="28"/>
              </w:rPr>
            </w:pPr>
            <w:r>
              <w:rPr>
                <w:rFonts w:ascii="Times New Roman" w:hAnsi="Times New Roman" w:eastAsia="仿宋_GB2312"/>
                <w:color w:val="000000"/>
                <w:spacing w:val="0"/>
                <w:kern w:val="0"/>
                <w:sz w:val="28"/>
                <w:szCs w:val="28"/>
              </w:rPr>
              <w:t>专业技术研修班、专项技术短期培训班、学术讲坛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514" w:type="dxa"/>
            <w:vMerge w:val="restart"/>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培育体系</w:t>
            </w:r>
          </w:p>
          <w:p>
            <w:pPr>
              <w:widowControl/>
              <w:shd w:val="clear" w:color="auto" w:fill="FFFFFF"/>
              <w:adjustRightInd w:val="0"/>
              <w:snapToGrid w:val="0"/>
              <w:spacing w:line="400" w:lineRule="exact"/>
              <w:ind w:left="-1" w:leftChars="-58" w:right="-154" w:rightChars="-81" w:hanging="109" w:hangingChars="39"/>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（院资助）</w:t>
            </w:r>
          </w:p>
        </w:tc>
        <w:tc>
          <w:tcPr>
            <w:tcW w:w="696" w:type="dxa"/>
            <w:vMerge w:val="restart"/>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院级培育项目</w:t>
            </w:r>
          </w:p>
        </w:tc>
        <w:tc>
          <w:tcPr>
            <w:tcW w:w="1114" w:type="dxa"/>
            <w:vAlign w:val="center"/>
          </w:tcPr>
          <w:p>
            <w:pPr>
              <w:shd w:val="clear" w:color="auto" w:fill="FFFFFF"/>
              <w:adjustRightInd w:val="0"/>
              <w:snapToGrid w:val="0"/>
              <w:spacing w:line="400" w:lineRule="exact"/>
              <w:ind w:left="-99" w:leftChars="-52" w:right="-114" w:rightChars="-60"/>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专业技术研修班</w:t>
            </w:r>
          </w:p>
        </w:tc>
        <w:tc>
          <w:tcPr>
            <w:tcW w:w="6736" w:type="dxa"/>
            <w:vAlign w:val="center"/>
          </w:tcPr>
          <w:p>
            <w:pPr>
              <w:spacing w:line="400" w:lineRule="exact"/>
              <w:ind w:firstLine="532" w:firstLineChars="190"/>
              <w:jc w:val="left"/>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重点支持高技术创新、关键核心技术攻关任务、国家重大科技基础设施和重点研发计划开展的班次。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514" w:type="dxa"/>
            <w:vMerge w:val="continue"/>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p>
        </w:tc>
        <w:tc>
          <w:tcPr>
            <w:tcW w:w="696" w:type="dxa"/>
            <w:vMerge w:val="continue"/>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p>
        </w:tc>
        <w:tc>
          <w:tcPr>
            <w:tcW w:w="1114" w:type="dxa"/>
            <w:vAlign w:val="center"/>
          </w:tcPr>
          <w:p>
            <w:pPr>
              <w:widowControl/>
              <w:shd w:val="clear" w:color="auto" w:fill="FFFFFF"/>
              <w:adjustRightInd w:val="0"/>
              <w:snapToGrid w:val="0"/>
              <w:spacing w:line="400" w:lineRule="exact"/>
              <w:ind w:left="-99" w:leftChars="-52" w:right="-114" w:rightChars="-60"/>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专项技术短期培训班</w:t>
            </w:r>
          </w:p>
        </w:tc>
        <w:tc>
          <w:tcPr>
            <w:tcW w:w="6736" w:type="dxa"/>
            <w:vAlign w:val="center"/>
          </w:tcPr>
          <w:p>
            <w:pPr>
              <w:widowControl/>
              <w:shd w:val="clear" w:color="auto" w:fill="FFFFFF"/>
              <w:adjustRightInd w:val="0"/>
              <w:snapToGrid w:val="0"/>
              <w:spacing w:line="400" w:lineRule="exact"/>
              <w:ind w:firstLine="532" w:firstLineChars="190"/>
              <w:jc w:val="left"/>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重点支持围绕国家重大战略、重大工程、重大项目、重点产业开展的班次。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14" w:type="dxa"/>
            <w:vMerge w:val="continue"/>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p>
        </w:tc>
        <w:tc>
          <w:tcPr>
            <w:tcW w:w="696" w:type="dxa"/>
            <w:vMerge w:val="continue"/>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p>
        </w:tc>
        <w:tc>
          <w:tcPr>
            <w:tcW w:w="1114" w:type="dxa"/>
            <w:vAlign w:val="center"/>
          </w:tcPr>
          <w:p>
            <w:pPr>
              <w:shd w:val="clear" w:color="auto" w:fill="FFFFFF"/>
              <w:adjustRightInd w:val="0"/>
              <w:snapToGrid w:val="0"/>
              <w:spacing w:line="400" w:lineRule="exact"/>
              <w:ind w:left="-99" w:leftChars="-52" w:right="-114" w:rightChars="-60"/>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学术</w:t>
            </w:r>
          </w:p>
          <w:p>
            <w:pPr>
              <w:shd w:val="clear" w:color="auto" w:fill="FFFFFF"/>
              <w:adjustRightInd w:val="0"/>
              <w:snapToGrid w:val="0"/>
              <w:spacing w:line="400" w:lineRule="exact"/>
              <w:ind w:left="-99" w:leftChars="-52" w:right="-114" w:rightChars="-60"/>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讲坛</w:t>
            </w:r>
          </w:p>
        </w:tc>
        <w:tc>
          <w:tcPr>
            <w:tcW w:w="6736" w:type="dxa"/>
            <w:vAlign w:val="center"/>
          </w:tcPr>
          <w:p>
            <w:pPr>
              <w:widowControl/>
              <w:shd w:val="clear" w:color="auto" w:fill="FFFFFF"/>
              <w:adjustRightInd w:val="0"/>
              <w:snapToGrid w:val="0"/>
              <w:spacing w:line="400" w:lineRule="exact"/>
              <w:ind w:firstLine="532" w:firstLineChars="190"/>
              <w:jc w:val="left"/>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加强对我院基础科研人才的培养，提升其原始创新能力，扩宽国际视野，重点支持围绕基础前沿交叉的重大科学和技术问题等开展的国际学术交流。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1514" w:type="dxa"/>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示范体系</w:t>
            </w:r>
          </w:p>
          <w:p>
            <w:pPr>
              <w:widowControl/>
              <w:shd w:val="clear" w:color="auto" w:fill="FFFFFF"/>
              <w:adjustRightInd w:val="0"/>
              <w:snapToGrid w:val="0"/>
              <w:spacing w:line="400" w:lineRule="exact"/>
              <w:ind w:left="-1" w:leftChars="-58" w:right="-154" w:rightChars="-81" w:hanging="109" w:hangingChars="39"/>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（院资助）</w:t>
            </w:r>
          </w:p>
        </w:tc>
        <w:tc>
          <w:tcPr>
            <w:tcW w:w="1810" w:type="dxa"/>
            <w:gridSpan w:val="2"/>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精品</w:t>
            </w:r>
          </w:p>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培训项目</w:t>
            </w:r>
          </w:p>
        </w:tc>
        <w:tc>
          <w:tcPr>
            <w:tcW w:w="6736" w:type="dxa"/>
            <w:vAlign w:val="center"/>
          </w:tcPr>
          <w:p>
            <w:pPr>
              <w:widowControl/>
              <w:shd w:val="clear" w:color="auto" w:fill="FFFFFF"/>
              <w:adjustRightInd w:val="0"/>
              <w:snapToGrid w:val="0"/>
              <w:spacing w:line="400" w:lineRule="exact"/>
              <w:ind w:firstLine="532" w:firstLineChars="190"/>
              <w:jc w:val="left"/>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重点加强原始创新、关键核心技术相关领域科技人才的培训。围绕重大科技成果产出，重点支持围绕“黑土粮仓”科技会战、“双碳”专项行动和关键核心技术攻关等一批重大任务计划开展的班次。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514" w:type="dxa"/>
            <w:vAlign w:val="center"/>
          </w:tcPr>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推广体系</w:t>
            </w:r>
          </w:p>
          <w:p>
            <w:pPr>
              <w:widowControl/>
              <w:shd w:val="clear" w:color="auto" w:fill="FFFFFF"/>
              <w:adjustRightInd w:val="0"/>
              <w:snapToGrid w:val="0"/>
              <w:spacing w:line="400" w:lineRule="exact"/>
              <w:jc w:val="center"/>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w:t>
            </w:r>
            <w:r>
              <w:rPr>
                <w:rFonts w:hint="eastAsia" w:ascii="Times New Roman" w:hAnsi="Times New Roman" w:eastAsia="仿宋_GB2312"/>
                <w:color w:val="000000"/>
                <w:spacing w:val="0"/>
                <w:kern w:val="0"/>
                <w:sz w:val="28"/>
                <w:szCs w:val="28"/>
                <w:lang w:eastAsia="zh-CN"/>
              </w:rPr>
              <w:t>人力资源社会保障部</w:t>
            </w:r>
            <w:r>
              <w:rPr>
                <w:rFonts w:ascii="Times New Roman" w:hAnsi="Times New Roman" w:eastAsia="仿宋_GB2312"/>
                <w:color w:val="000000"/>
                <w:spacing w:val="0"/>
                <w:kern w:val="0"/>
                <w:sz w:val="28"/>
                <w:szCs w:val="28"/>
              </w:rPr>
              <w:t>/院资助）</w:t>
            </w:r>
          </w:p>
        </w:tc>
        <w:tc>
          <w:tcPr>
            <w:tcW w:w="1810" w:type="dxa"/>
            <w:gridSpan w:val="2"/>
            <w:vAlign w:val="center"/>
          </w:tcPr>
          <w:p>
            <w:pPr>
              <w:widowControl/>
              <w:shd w:val="clear" w:color="auto" w:fill="FFFFFF"/>
              <w:adjustRightInd w:val="0"/>
              <w:snapToGrid w:val="0"/>
              <w:spacing w:line="400" w:lineRule="exact"/>
              <w:jc w:val="center"/>
              <w:rPr>
                <w:rFonts w:hint="eastAsia" w:ascii="Times New Roman" w:hAnsi="Times New Roman" w:eastAsia="仿宋_GB2312"/>
                <w:color w:val="000000"/>
                <w:spacing w:val="0"/>
                <w:kern w:val="0"/>
                <w:sz w:val="28"/>
                <w:szCs w:val="28"/>
                <w:lang w:eastAsia="zh-CN"/>
              </w:rPr>
            </w:pPr>
            <w:r>
              <w:rPr>
                <w:rFonts w:hint="eastAsia" w:ascii="Times New Roman" w:hAnsi="Times New Roman" w:eastAsia="仿宋_GB2312"/>
                <w:color w:val="000000"/>
                <w:spacing w:val="0"/>
                <w:kern w:val="0"/>
                <w:sz w:val="28"/>
                <w:szCs w:val="28"/>
                <w:lang w:eastAsia="zh-CN"/>
              </w:rPr>
              <w:t>人力资源社会保障部</w:t>
            </w:r>
          </w:p>
          <w:p>
            <w:pPr>
              <w:widowControl/>
              <w:shd w:val="clear" w:color="auto" w:fill="FFFFFF"/>
              <w:adjustRightInd w:val="0"/>
              <w:snapToGrid w:val="0"/>
              <w:spacing w:line="400" w:lineRule="exact"/>
              <w:ind w:left="72" w:leftChars="-36" w:right="-38" w:rightChars="-20" w:hanging="140" w:hangingChars="50"/>
              <w:jc w:val="center"/>
              <w:rPr>
                <w:rFonts w:ascii="Times New Roman" w:hAnsi="Times New Roman" w:eastAsia="仿宋_GB2312"/>
                <w:color w:val="000000"/>
                <w:spacing w:val="0"/>
                <w:sz w:val="28"/>
                <w:szCs w:val="28"/>
              </w:rPr>
            </w:pPr>
            <w:r>
              <w:rPr>
                <w:rFonts w:ascii="Times New Roman" w:hAnsi="Times New Roman" w:eastAsia="仿宋_GB2312"/>
                <w:color w:val="000000"/>
                <w:spacing w:val="0"/>
                <w:kern w:val="0"/>
                <w:sz w:val="28"/>
                <w:szCs w:val="28"/>
              </w:rPr>
              <w:t>高级研修项目</w:t>
            </w:r>
          </w:p>
        </w:tc>
        <w:tc>
          <w:tcPr>
            <w:tcW w:w="6736" w:type="dxa"/>
            <w:vAlign w:val="center"/>
          </w:tcPr>
          <w:p>
            <w:pPr>
              <w:widowControl/>
              <w:shd w:val="clear" w:color="auto" w:fill="FFFFFF"/>
              <w:adjustRightInd w:val="0"/>
              <w:snapToGrid w:val="0"/>
              <w:spacing w:line="400" w:lineRule="exact"/>
              <w:ind w:firstLine="532" w:firstLineChars="190"/>
              <w:jc w:val="left"/>
              <w:rPr>
                <w:rFonts w:ascii="Times New Roman" w:hAnsi="Times New Roman" w:eastAsia="仿宋_GB2312"/>
                <w:color w:val="000000"/>
                <w:spacing w:val="0"/>
                <w:kern w:val="0"/>
                <w:sz w:val="28"/>
                <w:szCs w:val="28"/>
              </w:rPr>
            </w:pPr>
            <w:r>
              <w:rPr>
                <w:rFonts w:ascii="Times New Roman" w:hAnsi="Times New Roman" w:eastAsia="仿宋_GB2312"/>
                <w:color w:val="000000"/>
                <w:spacing w:val="0"/>
                <w:kern w:val="0"/>
                <w:sz w:val="28"/>
                <w:szCs w:val="28"/>
              </w:rPr>
              <w:t>一是服务重大战略。服务创新驱动发展、乡村振兴、可持续发展等国家重大战略，服务区域协调发展战略，服务建设制造强国、网络强国、数字强国、质量强国，服务战略性新兴产业发展。二是突出重点领域。重点围绕新一代信息技术、生物技术、新能源、新材料、高端装备、新能源汽车、绿色环保以及航空航天、海洋装备等战略性新兴产业领域，瞄准量子信息、生命健康、脑科学、生物育种、空天科技、深地深海等前沿领域，紧贴人工智能、物联网、大数据、云计算、智能制造、工业互联网、虚拟现实、区块链、集成电路等数字技术领域，兼顾地方和行业发展需求，攻坚关键核心技术，推动传统产业高端化、智能化、绿色化。（2022年内容）</w:t>
            </w:r>
          </w:p>
        </w:tc>
      </w:tr>
    </w:tbl>
    <w:p>
      <w:pPr>
        <w:widowControl/>
        <w:jc w:val="left"/>
        <w:rPr>
          <w:rFonts w:ascii="Times New Roman" w:hAnsi="Times New Roman" w:eastAsia="仿宋_GB2312"/>
          <w:color w:val="000000"/>
          <w:spacing w:val="0"/>
          <w:sz w:val="24"/>
          <w:szCs w:val="32"/>
        </w:rPr>
      </w:pPr>
    </w:p>
    <w:sectPr>
      <w:footerReference r:id="rId3" w:type="default"/>
      <w:pgSz w:w="11906" w:h="16838"/>
      <w:pgMar w:top="1474" w:right="1474" w:bottom="1135" w:left="147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华文中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0331509"/>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E097B"/>
    <w:multiLevelType w:val="multilevel"/>
    <w:tmpl w:val="70BE097B"/>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9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1A"/>
    <w:rsid w:val="00006A1A"/>
    <w:rsid w:val="00033F55"/>
    <w:rsid w:val="00035FA4"/>
    <w:rsid w:val="00051D90"/>
    <w:rsid w:val="0009266E"/>
    <w:rsid w:val="00096977"/>
    <w:rsid w:val="000B448C"/>
    <w:rsid w:val="00110DC1"/>
    <w:rsid w:val="00155AD0"/>
    <w:rsid w:val="00157206"/>
    <w:rsid w:val="00171AB9"/>
    <w:rsid w:val="00174FB0"/>
    <w:rsid w:val="00184B13"/>
    <w:rsid w:val="001940C4"/>
    <w:rsid w:val="00195ABB"/>
    <w:rsid w:val="001A7A7F"/>
    <w:rsid w:val="001F74F2"/>
    <w:rsid w:val="00227F6F"/>
    <w:rsid w:val="002403B3"/>
    <w:rsid w:val="002507AF"/>
    <w:rsid w:val="00255D65"/>
    <w:rsid w:val="00262024"/>
    <w:rsid w:val="0027712B"/>
    <w:rsid w:val="00277A73"/>
    <w:rsid w:val="002805A3"/>
    <w:rsid w:val="002836AE"/>
    <w:rsid w:val="002971C8"/>
    <w:rsid w:val="002A1A64"/>
    <w:rsid w:val="002A76BF"/>
    <w:rsid w:val="002E4958"/>
    <w:rsid w:val="002E7093"/>
    <w:rsid w:val="00304FB2"/>
    <w:rsid w:val="00354C56"/>
    <w:rsid w:val="00357100"/>
    <w:rsid w:val="003723DB"/>
    <w:rsid w:val="00377FF8"/>
    <w:rsid w:val="00383139"/>
    <w:rsid w:val="0038372C"/>
    <w:rsid w:val="0038430A"/>
    <w:rsid w:val="003C5470"/>
    <w:rsid w:val="003C68E8"/>
    <w:rsid w:val="004057C7"/>
    <w:rsid w:val="00436A97"/>
    <w:rsid w:val="00443436"/>
    <w:rsid w:val="00464267"/>
    <w:rsid w:val="0049483D"/>
    <w:rsid w:val="00497A8E"/>
    <w:rsid w:val="004C18D9"/>
    <w:rsid w:val="004D7AD1"/>
    <w:rsid w:val="004E7FF9"/>
    <w:rsid w:val="00505CF7"/>
    <w:rsid w:val="00513276"/>
    <w:rsid w:val="0051519B"/>
    <w:rsid w:val="005429BB"/>
    <w:rsid w:val="0056104A"/>
    <w:rsid w:val="005974FB"/>
    <w:rsid w:val="005D3F00"/>
    <w:rsid w:val="005D6B2F"/>
    <w:rsid w:val="005E2863"/>
    <w:rsid w:val="006504D4"/>
    <w:rsid w:val="00651EB3"/>
    <w:rsid w:val="006601AF"/>
    <w:rsid w:val="00660A1B"/>
    <w:rsid w:val="00666DC0"/>
    <w:rsid w:val="006762B4"/>
    <w:rsid w:val="00706675"/>
    <w:rsid w:val="007374E1"/>
    <w:rsid w:val="007542C9"/>
    <w:rsid w:val="00770397"/>
    <w:rsid w:val="0078749E"/>
    <w:rsid w:val="007F1382"/>
    <w:rsid w:val="00800DD6"/>
    <w:rsid w:val="0083518A"/>
    <w:rsid w:val="0084350C"/>
    <w:rsid w:val="008618E1"/>
    <w:rsid w:val="00880A0A"/>
    <w:rsid w:val="0089098B"/>
    <w:rsid w:val="008A2207"/>
    <w:rsid w:val="008A250F"/>
    <w:rsid w:val="008A7ACF"/>
    <w:rsid w:val="008C17E2"/>
    <w:rsid w:val="008D6044"/>
    <w:rsid w:val="009000E0"/>
    <w:rsid w:val="0090051C"/>
    <w:rsid w:val="009237ED"/>
    <w:rsid w:val="00935DA6"/>
    <w:rsid w:val="00952752"/>
    <w:rsid w:val="009B1783"/>
    <w:rsid w:val="009B30A2"/>
    <w:rsid w:val="009B4C9D"/>
    <w:rsid w:val="009B4E64"/>
    <w:rsid w:val="00A10599"/>
    <w:rsid w:val="00A26F48"/>
    <w:rsid w:val="00A3296B"/>
    <w:rsid w:val="00A444EE"/>
    <w:rsid w:val="00A87ECD"/>
    <w:rsid w:val="00A90C48"/>
    <w:rsid w:val="00AC0831"/>
    <w:rsid w:val="00AD0469"/>
    <w:rsid w:val="00AD687A"/>
    <w:rsid w:val="00AE7461"/>
    <w:rsid w:val="00AF212C"/>
    <w:rsid w:val="00B20DBD"/>
    <w:rsid w:val="00B55B58"/>
    <w:rsid w:val="00B84A3A"/>
    <w:rsid w:val="00BA24A2"/>
    <w:rsid w:val="00BC6634"/>
    <w:rsid w:val="00BD44F4"/>
    <w:rsid w:val="00BE4388"/>
    <w:rsid w:val="00BE489D"/>
    <w:rsid w:val="00BE532B"/>
    <w:rsid w:val="00C36832"/>
    <w:rsid w:val="00C47AE5"/>
    <w:rsid w:val="00C561D6"/>
    <w:rsid w:val="00C578E5"/>
    <w:rsid w:val="00C76A7C"/>
    <w:rsid w:val="00C843C4"/>
    <w:rsid w:val="00C8711C"/>
    <w:rsid w:val="00CA6CAB"/>
    <w:rsid w:val="00D15BE3"/>
    <w:rsid w:val="00D2669A"/>
    <w:rsid w:val="00D3101B"/>
    <w:rsid w:val="00D3288F"/>
    <w:rsid w:val="00D34077"/>
    <w:rsid w:val="00D951B9"/>
    <w:rsid w:val="00DA2E43"/>
    <w:rsid w:val="00DB407C"/>
    <w:rsid w:val="00DD781E"/>
    <w:rsid w:val="00E1107B"/>
    <w:rsid w:val="00E30D06"/>
    <w:rsid w:val="00E3374F"/>
    <w:rsid w:val="00E4176C"/>
    <w:rsid w:val="00E57FAC"/>
    <w:rsid w:val="00E62584"/>
    <w:rsid w:val="00EF4DEF"/>
    <w:rsid w:val="00F00046"/>
    <w:rsid w:val="00F072F9"/>
    <w:rsid w:val="00F137DD"/>
    <w:rsid w:val="00F3746A"/>
    <w:rsid w:val="00F75738"/>
    <w:rsid w:val="00F760E1"/>
    <w:rsid w:val="00F86C7B"/>
    <w:rsid w:val="00F97DE1"/>
    <w:rsid w:val="00FB5214"/>
    <w:rsid w:val="00FC5C98"/>
    <w:rsid w:val="07FF2D03"/>
    <w:rsid w:val="1F7F00E9"/>
    <w:rsid w:val="3CFD12FB"/>
    <w:rsid w:val="3F27E271"/>
    <w:rsid w:val="57FE2ECB"/>
    <w:rsid w:val="599E0621"/>
    <w:rsid w:val="62FF2D01"/>
    <w:rsid w:val="63D747AC"/>
    <w:rsid w:val="66D68CBF"/>
    <w:rsid w:val="73CF3DE5"/>
    <w:rsid w:val="7CFFF419"/>
    <w:rsid w:val="7EDB6E14"/>
    <w:rsid w:val="7FBF305F"/>
    <w:rsid w:val="7FFF4C86"/>
    <w:rsid w:val="9DFFC86C"/>
    <w:rsid w:val="AD7BA3D4"/>
    <w:rsid w:val="B7EFB2FA"/>
    <w:rsid w:val="B7EFBC85"/>
    <w:rsid w:val="CEF9E37F"/>
    <w:rsid w:val="DBFFA1CA"/>
    <w:rsid w:val="DD7F4133"/>
    <w:rsid w:val="EB23BE01"/>
    <w:rsid w:val="EBFF7928"/>
    <w:rsid w:val="F37F3090"/>
    <w:rsid w:val="F7F937D0"/>
    <w:rsid w:val="F8DFB32E"/>
    <w:rsid w:val="F9FE0476"/>
    <w:rsid w:val="FBEBCFBA"/>
    <w:rsid w:val="FDDF37C9"/>
    <w:rsid w:val="FDF30AD4"/>
    <w:rsid w:val="FE9D968C"/>
    <w:rsid w:val="FFAF2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pacing w:val="-10"/>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pacing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pacing w:val="0"/>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spacing w:val="0"/>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2"/>
    <w:semiHidden/>
    <w:qFormat/>
    <w:uiPriority w:val="99"/>
    <w:rPr>
      <w:rFonts w:ascii="Calibri" w:hAnsi="Calibri" w:eastAsia="宋体" w:cs="Times New Roman"/>
      <w:spacing w:val="-1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525</Words>
  <Characters>2999</Characters>
  <Lines>24</Lines>
  <Paragraphs>7</Paragraphs>
  <TotalTime>6</TotalTime>
  <ScaleCrop>false</ScaleCrop>
  <LinksUpToDate>false</LinksUpToDate>
  <CharactersWithSpaces>3517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2022-10-27T15:59:00Z</dcterms:created>
  <dc:creator>刘杨</dc:creator>
  <cp:lastModifiedBy>cas_user</cp:lastModifiedBy>
  <cp:lastPrinted>2021-10-18T15:49:00Z</cp:lastPrinted>
  <dcterms:modified xsi:type="dcterms:W3CDTF">2022-10-26T18:22:41Z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