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8C" w:rsidRDefault="0073168C" w:rsidP="00503F1C">
      <w:pPr>
        <w:widowControl/>
        <w:spacing w:line="720" w:lineRule="atLeast"/>
        <w:jc w:val="center"/>
        <w:outlineLvl w:val="0"/>
        <w:rPr>
          <w:rFonts w:ascii="微软雅黑" w:eastAsia="微软雅黑" w:hAnsi="微软雅黑" w:cs="宋体"/>
          <w:b/>
          <w:bCs/>
          <w:color w:val="000000" w:themeColor="text1"/>
          <w:kern w:val="36"/>
          <w:sz w:val="32"/>
          <w:szCs w:val="32"/>
        </w:rPr>
      </w:pPr>
    </w:p>
    <w:p w:rsidR="00503F1C" w:rsidRPr="00503F1C" w:rsidRDefault="00503F1C" w:rsidP="00503F1C">
      <w:pPr>
        <w:widowControl/>
        <w:spacing w:line="720" w:lineRule="atLeast"/>
        <w:jc w:val="center"/>
        <w:outlineLvl w:val="0"/>
        <w:rPr>
          <w:rFonts w:ascii="微软雅黑" w:eastAsia="微软雅黑" w:hAnsi="微软雅黑" w:cs="宋体"/>
          <w:b/>
          <w:bCs/>
          <w:color w:val="000000" w:themeColor="text1"/>
          <w:kern w:val="36"/>
          <w:sz w:val="32"/>
          <w:szCs w:val="32"/>
        </w:rPr>
      </w:pPr>
      <w:r w:rsidRPr="00503F1C">
        <w:rPr>
          <w:rFonts w:ascii="微软雅黑" w:eastAsia="微软雅黑" w:hAnsi="微软雅黑" w:cs="宋体" w:hint="eastAsia"/>
          <w:b/>
          <w:bCs/>
          <w:color w:val="000000" w:themeColor="text1"/>
          <w:kern w:val="36"/>
          <w:sz w:val="32"/>
          <w:szCs w:val="32"/>
        </w:rPr>
        <w:t>关于省直机关公务员门诊特殊疾病和门诊特殊慢性病公务员医疗补助有关问题的通知</w:t>
      </w:r>
    </w:p>
    <w:p w:rsidR="00503F1C" w:rsidRPr="00503F1C" w:rsidRDefault="00503F1C" w:rsidP="00503F1C">
      <w:pPr>
        <w:widowControl/>
        <w:spacing w:line="720" w:lineRule="atLeast"/>
        <w:jc w:val="center"/>
        <w:outlineLvl w:val="0"/>
        <w:rPr>
          <w:rFonts w:ascii="微软雅黑" w:eastAsia="微软雅黑" w:hAnsi="微软雅黑" w:cs="宋体"/>
          <w:bCs/>
          <w:color w:val="000000" w:themeColor="text1"/>
          <w:kern w:val="36"/>
          <w:sz w:val="27"/>
          <w:szCs w:val="27"/>
        </w:rPr>
      </w:pPr>
      <w:r w:rsidRPr="00503F1C">
        <w:rPr>
          <w:rFonts w:ascii="微软雅黑" w:eastAsia="微软雅黑" w:hAnsi="微软雅黑" w:cs="宋体" w:hint="eastAsia"/>
          <w:bCs/>
          <w:color w:val="000000" w:themeColor="text1"/>
          <w:kern w:val="36"/>
          <w:sz w:val="27"/>
          <w:szCs w:val="27"/>
        </w:rPr>
        <w:t>（陕</w:t>
      </w:r>
      <w:proofErr w:type="gramStart"/>
      <w:r w:rsidRPr="00503F1C">
        <w:rPr>
          <w:rFonts w:ascii="微软雅黑" w:eastAsia="微软雅黑" w:hAnsi="微软雅黑" w:cs="宋体" w:hint="eastAsia"/>
          <w:bCs/>
          <w:color w:val="000000" w:themeColor="text1"/>
          <w:kern w:val="36"/>
          <w:sz w:val="27"/>
          <w:szCs w:val="27"/>
        </w:rPr>
        <w:t>劳</w:t>
      </w:r>
      <w:proofErr w:type="gramEnd"/>
      <w:r w:rsidRPr="00503F1C">
        <w:rPr>
          <w:rFonts w:ascii="微软雅黑" w:eastAsia="微软雅黑" w:hAnsi="微软雅黑" w:cs="宋体" w:hint="eastAsia"/>
          <w:bCs/>
          <w:color w:val="000000" w:themeColor="text1"/>
          <w:kern w:val="36"/>
          <w:sz w:val="27"/>
          <w:szCs w:val="27"/>
        </w:rPr>
        <w:t>社发[2007]131号）</w:t>
      </w:r>
    </w:p>
    <w:p w:rsidR="00503F1C" w:rsidRPr="00503F1C" w:rsidRDefault="00503F1C" w:rsidP="00503F1C">
      <w:pPr>
        <w:widowControl/>
        <w:spacing w:line="720" w:lineRule="atLeast"/>
        <w:jc w:val="center"/>
        <w:outlineLvl w:val="0"/>
        <w:rPr>
          <w:rFonts w:ascii="微软雅黑" w:eastAsia="微软雅黑" w:hAnsi="微软雅黑" w:cs="宋体"/>
          <w:b/>
          <w:bCs/>
          <w:color w:val="000000" w:themeColor="text1"/>
          <w:kern w:val="36"/>
          <w:sz w:val="27"/>
          <w:szCs w:val="27"/>
        </w:rPr>
      </w:pP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省级各有关参保单位：</w:t>
      </w: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根据省政府办公厅《关于印发〈陕西省省机关公务员医疗补助暂行办法〉的通知》（</w:t>
      </w:r>
      <w:proofErr w:type="gramStart"/>
      <w:r w:rsidRPr="00503F1C">
        <w:rPr>
          <w:rFonts w:ascii="宋体" w:eastAsia="宋体" w:hAnsi="宋体" w:cs="宋体" w:hint="eastAsia"/>
          <w:color w:val="333333"/>
          <w:kern w:val="0"/>
          <w:sz w:val="24"/>
          <w:szCs w:val="24"/>
          <w:bdr w:val="none" w:sz="0" w:space="0" w:color="auto" w:frame="1"/>
        </w:rPr>
        <w:t>陕政办</w:t>
      </w:r>
      <w:proofErr w:type="gramEnd"/>
      <w:r w:rsidRPr="00503F1C">
        <w:rPr>
          <w:rFonts w:ascii="宋体" w:eastAsia="宋体" w:hAnsi="宋体" w:cs="宋体" w:hint="eastAsia"/>
          <w:color w:val="333333"/>
          <w:kern w:val="0"/>
          <w:sz w:val="24"/>
          <w:szCs w:val="24"/>
          <w:bdr w:val="none" w:sz="0" w:space="0" w:color="auto" w:frame="1"/>
        </w:rPr>
        <w:t>发[2005]113号）和《关于进一步完善省直机关公务员医疗补助办法有关问题的通知》（</w:t>
      </w:r>
      <w:proofErr w:type="gramStart"/>
      <w:r w:rsidRPr="00503F1C">
        <w:rPr>
          <w:rFonts w:ascii="宋体" w:eastAsia="宋体" w:hAnsi="宋体" w:cs="宋体" w:hint="eastAsia"/>
          <w:color w:val="333333"/>
          <w:kern w:val="0"/>
          <w:sz w:val="24"/>
          <w:szCs w:val="24"/>
          <w:bdr w:val="none" w:sz="0" w:space="0" w:color="auto" w:frame="1"/>
        </w:rPr>
        <w:t>陕政办</w:t>
      </w:r>
      <w:proofErr w:type="gramEnd"/>
      <w:r w:rsidRPr="00503F1C">
        <w:rPr>
          <w:rFonts w:ascii="宋体" w:eastAsia="宋体" w:hAnsi="宋体" w:cs="宋体" w:hint="eastAsia"/>
          <w:color w:val="333333"/>
          <w:kern w:val="0"/>
          <w:sz w:val="24"/>
          <w:szCs w:val="24"/>
          <w:bdr w:val="none" w:sz="0" w:space="0" w:color="auto" w:frame="1"/>
        </w:rPr>
        <w:t>发[2007]151号）规定，结合省直机关公务员医疗保险的运行情况，现就省直机关公务员特殊疾病管理有关问题通知如下：</w:t>
      </w: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一、省直机关公务员在基本医疗门诊特殊慢性病病种的基础上增加公务员门诊特殊疾病病种：1、慢性肾小球肾炎；2、慢性肝炎（活动性）；3、精神疾病（情感障碍、器质性精神障碍）；4、类风湿性关节炎；5、原发性心肌病；6、癫痫；7、慢性肺源性心脏病；8、慢性支气管炎；9、胃十二指肠溃疡（伴有并发症）。</w:t>
      </w: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二、省直机关公务员特殊疾病的管理参照《陕西省省级机关事业单位职工基本医疗保险门诊特殊慢性病、特殊检查、特殊治疗管理暂行办法》（陕</w:t>
      </w:r>
      <w:proofErr w:type="gramStart"/>
      <w:r w:rsidRPr="00503F1C">
        <w:rPr>
          <w:rFonts w:ascii="宋体" w:eastAsia="宋体" w:hAnsi="宋体" w:cs="宋体" w:hint="eastAsia"/>
          <w:color w:val="333333"/>
          <w:kern w:val="0"/>
          <w:sz w:val="24"/>
          <w:szCs w:val="24"/>
          <w:bdr w:val="none" w:sz="0" w:space="0" w:color="auto" w:frame="1"/>
        </w:rPr>
        <w:t>劳</w:t>
      </w:r>
      <w:proofErr w:type="gramEnd"/>
      <w:r w:rsidRPr="00503F1C">
        <w:rPr>
          <w:rFonts w:ascii="宋体" w:eastAsia="宋体" w:hAnsi="宋体" w:cs="宋体" w:hint="eastAsia"/>
          <w:color w:val="333333"/>
          <w:kern w:val="0"/>
          <w:sz w:val="24"/>
          <w:szCs w:val="24"/>
          <w:bdr w:val="none" w:sz="0" w:space="0" w:color="auto" w:frame="1"/>
        </w:rPr>
        <w:t>社发[2005]144号）和《关于完善省级门诊特殊慢性病管理办法有关问题的通知》（陕</w:t>
      </w:r>
      <w:proofErr w:type="gramStart"/>
      <w:r w:rsidRPr="00503F1C">
        <w:rPr>
          <w:rFonts w:ascii="宋体" w:eastAsia="宋体" w:hAnsi="宋体" w:cs="宋体" w:hint="eastAsia"/>
          <w:color w:val="333333"/>
          <w:kern w:val="0"/>
          <w:sz w:val="24"/>
          <w:szCs w:val="24"/>
          <w:bdr w:val="none" w:sz="0" w:space="0" w:color="auto" w:frame="1"/>
        </w:rPr>
        <w:t>劳社函</w:t>
      </w:r>
      <w:proofErr w:type="gramEnd"/>
      <w:r w:rsidRPr="00503F1C">
        <w:rPr>
          <w:rFonts w:ascii="宋体" w:eastAsia="宋体" w:hAnsi="宋体" w:cs="宋体" w:hint="eastAsia"/>
          <w:color w:val="333333"/>
          <w:kern w:val="0"/>
          <w:sz w:val="24"/>
          <w:szCs w:val="24"/>
          <w:bdr w:val="none" w:sz="0" w:space="0" w:color="auto" w:frame="1"/>
        </w:rPr>
        <w:t>[2007]785号）的有关规定执行，医疗费用由公务员医疗补助经费列支。</w:t>
      </w: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三、省直机关公务员门诊特殊疾病设年度起付标准和年度医疗费用限额，具体标准附后。</w:t>
      </w: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四、在一年自然年度内，基本医疗门诊特殊慢性病和公务员门诊特殊疾病患者，按规定个人负担的医疗费用部分，累计进入年度公务员补助，年度累计补助限额标准为：患者门诊特殊慢性病年医疗费用限额的两倍（恶性肿瘤、精神分裂症除外）。补助标准为：累计超过1500元以上的部分补助50%，累计超过5000元以上的部分补助80%。</w:t>
      </w: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五、省直机关公务员同时患有公务员门诊特殊疾病和基本医疗门诊特殊慢性病的，病种在两种以上的，支付一个基本医疗门诊特殊慢性病起付标准；医疗费用限额按照病种限额较高的确定，并在其基础上每月增加50元限额；基金支付途径按限额较高的疾病所属基金支付类别确定。</w:t>
      </w: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六、省直机关公务员特殊疾病和门诊特殊慢性病病种范围的支付标准由省劳动保障厅根据公务员医疗补助经费运行情况和个人负担情况，</w:t>
      </w:r>
      <w:proofErr w:type="gramStart"/>
      <w:r w:rsidRPr="00503F1C">
        <w:rPr>
          <w:rFonts w:ascii="宋体" w:eastAsia="宋体" w:hAnsi="宋体" w:cs="宋体" w:hint="eastAsia"/>
          <w:color w:val="333333"/>
          <w:kern w:val="0"/>
          <w:sz w:val="24"/>
          <w:szCs w:val="24"/>
          <w:bdr w:val="none" w:sz="0" w:space="0" w:color="auto" w:frame="1"/>
        </w:rPr>
        <w:t>商省财政厅</w:t>
      </w:r>
      <w:proofErr w:type="gramEnd"/>
      <w:r w:rsidRPr="00503F1C">
        <w:rPr>
          <w:rFonts w:ascii="宋体" w:eastAsia="宋体" w:hAnsi="宋体" w:cs="宋体" w:hint="eastAsia"/>
          <w:color w:val="333333"/>
          <w:kern w:val="0"/>
          <w:sz w:val="24"/>
          <w:szCs w:val="24"/>
          <w:bdr w:val="none" w:sz="0" w:space="0" w:color="auto" w:frame="1"/>
        </w:rPr>
        <w:t>适时调整。</w:t>
      </w: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t>七、省医疗保险管理中心要加强对门诊特殊慢性病和公务员特殊疾病的经办管理，具体结算方式和经办管理办法由医疗保险管理中心制定。</w:t>
      </w:r>
    </w:p>
    <w:p w:rsidR="00AD35B7" w:rsidRDefault="00AD35B7" w:rsidP="00503F1C">
      <w:pPr>
        <w:widowControl/>
        <w:spacing w:line="315" w:lineRule="atLeast"/>
        <w:ind w:firstLine="435"/>
        <w:jc w:val="left"/>
        <w:rPr>
          <w:rFonts w:ascii="宋体" w:eastAsia="宋体" w:hAnsi="宋体" w:cs="宋体"/>
          <w:color w:val="333333"/>
          <w:kern w:val="0"/>
          <w:sz w:val="24"/>
          <w:szCs w:val="24"/>
          <w:bdr w:val="none" w:sz="0" w:space="0" w:color="auto" w:frame="1"/>
        </w:rPr>
      </w:pPr>
    </w:p>
    <w:p w:rsidR="00AD35B7" w:rsidRDefault="00AD35B7" w:rsidP="00503F1C">
      <w:pPr>
        <w:widowControl/>
        <w:spacing w:line="315" w:lineRule="atLeast"/>
        <w:ind w:firstLine="435"/>
        <w:jc w:val="left"/>
        <w:rPr>
          <w:rFonts w:ascii="宋体" w:eastAsia="宋体" w:hAnsi="宋体" w:cs="宋体"/>
          <w:color w:val="333333"/>
          <w:kern w:val="0"/>
          <w:sz w:val="24"/>
          <w:szCs w:val="24"/>
          <w:bdr w:val="none" w:sz="0" w:space="0" w:color="auto" w:frame="1"/>
        </w:rPr>
      </w:pPr>
    </w:p>
    <w:p w:rsidR="00503F1C" w:rsidRPr="00503F1C" w:rsidRDefault="00503F1C" w:rsidP="00503F1C">
      <w:pPr>
        <w:widowControl/>
        <w:spacing w:line="315" w:lineRule="atLeast"/>
        <w:ind w:firstLine="435"/>
        <w:jc w:val="left"/>
        <w:rPr>
          <w:rFonts w:ascii="微软雅黑" w:eastAsia="微软雅黑" w:hAnsi="微软雅黑" w:cs="宋体"/>
          <w:color w:val="333333"/>
          <w:kern w:val="0"/>
          <w:szCs w:val="21"/>
        </w:rPr>
      </w:pPr>
      <w:r w:rsidRPr="00503F1C">
        <w:rPr>
          <w:rFonts w:ascii="宋体" w:eastAsia="宋体" w:hAnsi="宋体" w:cs="宋体" w:hint="eastAsia"/>
          <w:color w:val="333333"/>
          <w:kern w:val="0"/>
          <w:sz w:val="24"/>
          <w:szCs w:val="24"/>
          <w:bdr w:val="none" w:sz="0" w:space="0" w:color="auto" w:frame="1"/>
        </w:rPr>
        <w:lastRenderedPageBreak/>
        <w:t>附：公务员门诊特殊疾病病种和年度限额表</w:t>
      </w:r>
    </w:p>
    <w:p w:rsidR="00C208B6" w:rsidRDefault="00C208B6" w:rsidP="00503F1C">
      <w:pPr>
        <w:widowControl/>
        <w:spacing w:line="315" w:lineRule="atLeast"/>
        <w:ind w:firstLine="435"/>
        <w:jc w:val="center"/>
        <w:rPr>
          <w:rFonts w:ascii="宋体" w:eastAsia="宋体" w:hAnsi="宋体" w:cs="宋体"/>
          <w:b/>
          <w:bCs/>
          <w:color w:val="333333"/>
          <w:kern w:val="0"/>
          <w:sz w:val="24"/>
          <w:szCs w:val="24"/>
          <w:bdr w:val="none" w:sz="0" w:space="0" w:color="auto" w:frame="1"/>
        </w:rPr>
      </w:pPr>
    </w:p>
    <w:p w:rsidR="00503F1C" w:rsidRPr="00503F1C" w:rsidRDefault="00503F1C" w:rsidP="00503F1C">
      <w:pPr>
        <w:widowControl/>
        <w:spacing w:line="315" w:lineRule="atLeast"/>
        <w:ind w:firstLine="435"/>
        <w:jc w:val="center"/>
        <w:rPr>
          <w:rFonts w:ascii="微软雅黑" w:eastAsia="微软雅黑" w:hAnsi="微软雅黑" w:cs="宋体"/>
          <w:color w:val="333333"/>
          <w:kern w:val="0"/>
          <w:szCs w:val="21"/>
        </w:rPr>
      </w:pPr>
      <w:r w:rsidRPr="00503F1C">
        <w:rPr>
          <w:rFonts w:ascii="宋体" w:eastAsia="宋体" w:hAnsi="宋体" w:cs="宋体" w:hint="eastAsia"/>
          <w:b/>
          <w:bCs/>
          <w:color w:val="333333"/>
          <w:kern w:val="0"/>
          <w:sz w:val="24"/>
          <w:szCs w:val="24"/>
          <w:bdr w:val="none" w:sz="0" w:space="0" w:color="auto" w:frame="1"/>
        </w:rPr>
        <w:t>公务员门诊特殊疾病病种和年度限额表</w:t>
      </w:r>
    </w:p>
    <w:tbl>
      <w:tblPr>
        <w:tblW w:w="9073" w:type="dxa"/>
        <w:tblInd w:w="-176" w:type="dxa"/>
        <w:tblLook w:val="04A0" w:firstRow="1" w:lastRow="0" w:firstColumn="1" w:lastColumn="0" w:noHBand="0" w:noVBand="1"/>
      </w:tblPr>
      <w:tblGrid>
        <w:gridCol w:w="456"/>
        <w:gridCol w:w="1955"/>
        <w:gridCol w:w="2823"/>
        <w:gridCol w:w="1146"/>
        <w:gridCol w:w="1275"/>
        <w:gridCol w:w="1418"/>
      </w:tblGrid>
      <w:tr w:rsidR="00503F1C" w:rsidRPr="00503F1C" w:rsidTr="006B5C7E">
        <w:tc>
          <w:tcPr>
            <w:tcW w:w="456" w:type="dxa"/>
            <w:tcBorders>
              <w:top w:val="single" w:sz="4" w:space="0" w:color="000000"/>
              <w:left w:val="single" w:sz="4" w:space="0" w:color="000000"/>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bookmarkStart w:id="0" w:name="_GoBack" w:colFirst="2" w:colLast="2"/>
            <w:r w:rsidRPr="00503F1C">
              <w:rPr>
                <w:rFonts w:ascii="宋体" w:eastAsia="宋体" w:hAnsi="宋体" w:cs="宋体" w:hint="eastAsia"/>
                <w:kern w:val="0"/>
                <w:sz w:val="24"/>
                <w:szCs w:val="24"/>
                <w:bdr w:val="none" w:sz="0" w:space="0" w:color="auto" w:frame="1"/>
              </w:rPr>
              <w:t>序</w:t>
            </w:r>
            <w:r w:rsidR="00FD4309">
              <w:rPr>
                <w:rFonts w:ascii="宋体" w:eastAsia="宋体" w:hAnsi="宋体" w:cs="宋体" w:hint="eastAsia"/>
                <w:kern w:val="0"/>
                <w:sz w:val="24"/>
                <w:szCs w:val="24"/>
                <w:bdr w:val="none" w:sz="0" w:space="0" w:color="auto" w:frame="1"/>
              </w:rPr>
              <w:t>序</w:t>
            </w:r>
            <w:r w:rsidRPr="00503F1C">
              <w:rPr>
                <w:rFonts w:ascii="宋体" w:eastAsia="宋体" w:hAnsi="宋体" w:cs="宋体" w:hint="eastAsia"/>
                <w:kern w:val="0"/>
                <w:sz w:val="24"/>
                <w:szCs w:val="24"/>
                <w:bdr w:val="none" w:sz="0" w:space="0" w:color="auto" w:frame="1"/>
              </w:rPr>
              <w:t>号</w:t>
            </w:r>
          </w:p>
        </w:tc>
        <w:tc>
          <w:tcPr>
            <w:tcW w:w="1955" w:type="dxa"/>
            <w:tcBorders>
              <w:top w:val="single" w:sz="4" w:space="0" w:color="000000"/>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特殊疾病病种名称</w:t>
            </w:r>
          </w:p>
        </w:tc>
        <w:tc>
          <w:tcPr>
            <w:tcW w:w="2823" w:type="dxa"/>
            <w:tcBorders>
              <w:top w:val="single" w:sz="4" w:space="0" w:color="000000"/>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确认病种标准</w:t>
            </w:r>
          </w:p>
        </w:tc>
        <w:tc>
          <w:tcPr>
            <w:tcW w:w="1146" w:type="dxa"/>
            <w:tcBorders>
              <w:top w:val="single" w:sz="4" w:space="0" w:color="000000"/>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月平均限额</w:t>
            </w:r>
          </w:p>
        </w:tc>
        <w:tc>
          <w:tcPr>
            <w:tcW w:w="1275" w:type="dxa"/>
            <w:tcBorders>
              <w:top w:val="single" w:sz="4" w:space="0" w:color="000000"/>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年度医疗费用限额</w:t>
            </w:r>
          </w:p>
        </w:tc>
        <w:tc>
          <w:tcPr>
            <w:tcW w:w="1418" w:type="dxa"/>
            <w:tcBorders>
              <w:top w:val="single" w:sz="4" w:space="0" w:color="000000"/>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备注</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1</w:t>
            </w:r>
            <w:r w:rsidR="00503F1C" w:rsidRPr="00503F1C">
              <w:rPr>
                <w:rFonts w:ascii="宋体" w:eastAsia="宋体" w:hAnsi="宋体" w:cs="宋体" w:hint="eastAsia"/>
                <w:kern w:val="0"/>
                <w:sz w:val="24"/>
                <w:szCs w:val="24"/>
                <w:bdr w:val="none" w:sz="0" w:space="0" w:color="auto" w:frame="1"/>
              </w:rPr>
              <w:t>1</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慢性肾小球肾炎</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提供住院病历（限三年内）复印件，并符合下列条件：1、有典型的肾炎病史；2、实验室检查有多项血、</w:t>
            </w:r>
            <w:proofErr w:type="gramStart"/>
            <w:r w:rsidRPr="00503F1C">
              <w:rPr>
                <w:rFonts w:ascii="宋体" w:eastAsia="宋体" w:hAnsi="宋体" w:cs="宋体" w:hint="eastAsia"/>
                <w:kern w:val="0"/>
                <w:sz w:val="24"/>
                <w:szCs w:val="24"/>
                <w:bdr w:val="none" w:sz="0" w:space="0" w:color="auto" w:frame="1"/>
              </w:rPr>
              <w:t>尿肾功能</w:t>
            </w:r>
            <w:proofErr w:type="gramEnd"/>
            <w:r w:rsidRPr="00503F1C">
              <w:rPr>
                <w:rFonts w:ascii="宋体" w:eastAsia="宋体" w:hAnsi="宋体" w:cs="宋体" w:hint="eastAsia"/>
                <w:kern w:val="0"/>
                <w:sz w:val="24"/>
                <w:szCs w:val="24"/>
                <w:bdr w:val="none" w:sz="0" w:space="0" w:color="auto" w:frame="1"/>
              </w:rPr>
              <w:t>检测异常</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300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3600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确认该病种后支付年限为二年，二年后需重新确认</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2</w:t>
            </w:r>
            <w:r w:rsidR="00503F1C" w:rsidRPr="00503F1C">
              <w:rPr>
                <w:rFonts w:ascii="宋体" w:eastAsia="宋体" w:hAnsi="宋体" w:cs="宋体" w:hint="eastAsia"/>
                <w:kern w:val="0"/>
                <w:sz w:val="24"/>
                <w:szCs w:val="24"/>
                <w:bdr w:val="none" w:sz="0" w:space="0" w:color="auto" w:frame="1"/>
              </w:rPr>
              <w:t>2</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慢性肝炎</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提供住院病历（限三年内）复印件，并符合下列条件者：1、有肝炎病史及相关的临床表现；2、实验室检查异常，符合肝炎诊断标准者</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300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3600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确认该病种后支付年限为二年，二年后需重新确认</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3</w:t>
            </w:r>
            <w:r w:rsidR="00503F1C" w:rsidRPr="00503F1C">
              <w:rPr>
                <w:rFonts w:ascii="宋体" w:eastAsia="宋体" w:hAnsi="宋体" w:cs="宋体" w:hint="eastAsia"/>
                <w:kern w:val="0"/>
                <w:sz w:val="24"/>
                <w:szCs w:val="24"/>
                <w:bdr w:val="none" w:sz="0" w:space="0" w:color="auto" w:frame="1"/>
              </w:rPr>
              <w:t>3</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精神疾病（情感障碍、器质性精神障碍）</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1、有长期患精神疾病的病史；2、有明确的躁狂三高症；3、有明确的抑郁三低症；4、有明确脑部疾病或外伤所致脑部功能改变病史；5、相关检查提示脑部有功能改变者</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200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2400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确认该病种后支付年限为二年，二年后需重新确认</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4</w:t>
            </w:r>
            <w:r w:rsidR="00503F1C" w:rsidRPr="00503F1C">
              <w:rPr>
                <w:rFonts w:ascii="宋体" w:eastAsia="宋体" w:hAnsi="宋体" w:cs="宋体" w:hint="eastAsia"/>
                <w:kern w:val="0"/>
                <w:sz w:val="24"/>
                <w:szCs w:val="24"/>
                <w:bdr w:val="none" w:sz="0" w:space="0" w:color="auto" w:frame="1"/>
              </w:rPr>
              <w:t>4</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类风湿性关节炎</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提供住院病历（限三年内）复印件，并符合下列条件者：1、有类风湿性关节炎病史及相关的临床表现；2、实验室检查、X线及其他相关检查符合类风湿性关节炎诊断标准者</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200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2400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确认该病种后支付年限为二年，二年后需重新确认</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5</w:t>
            </w:r>
            <w:r w:rsidR="00503F1C" w:rsidRPr="00503F1C">
              <w:rPr>
                <w:rFonts w:ascii="宋体" w:eastAsia="宋体" w:hAnsi="宋体" w:cs="宋体" w:hint="eastAsia"/>
                <w:kern w:val="0"/>
                <w:sz w:val="24"/>
                <w:szCs w:val="24"/>
                <w:bdr w:val="none" w:sz="0" w:space="0" w:color="auto" w:frame="1"/>
              </w:rPr>
              <w:t>5</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原发性心肌病</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提供住院病历（限三年内）复印件，并符合下列条件者：1、有心肌病的相关临床表现；2、心电图、心脏B超、心功能检查、X线及其他相关检查符合心肌病的诊断标准者</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400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4800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确认该病种后支付年限为二年，二年后需重新确认</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lastRenderedPageBreak/>
              <w:t>6</w:t>
            </w:r>
            <w:r w:rsidR="00503F1C" w:rsidRPr="00503F1C">
              <w:rPr>
                <w:rFonts w:ascii="宋体" w:eastAsia="宋体" w:hAnsi="宋体" w:cs="宋体" w:hint="eastAsia"/>
                <w:kern w:val="0"/>
                <w:sz w:val="24"/>
                <w:szCs w:val="24"/>
                <w:bdr w:val="none" w:sz="0" w:space="0" w:color="auto" w:frame="1"/>
              </w:rPr>
              <w:t>6</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癫痫</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提供住院病历（限三年内）复印件，并符合下列条件者：1、有癫痫反复发作病史；2、根据国际抗癫痫联盟1981、1989年先后提出的癫痫发作分类标准，符合其标准者；3、脑电图及其他相关检查符合癫痫疾病诊断者</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200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2400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确认该病种后支付年限为二年，二年后需重新确认</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7</w:t>
            </w:r>
            <w:r w:rsidR="00503F1C" w:rsidRPr="00503F1C">
              <w:rPr>
                <w:rFonts w:ascii="宋体" w:eastAsia="宋体" w:hAnsi="宋体" w:cs="宋体" w:hint="eastAsia"/>
                <w:kern w:val="0"/>
                <w:sz w:val="24"/>
                <w:szCs w:val="24"/>
                <w:bdr w:val="none" w:sz="0" w:space="0" w:color="auto" w:frame="1"/>
              </w:rPr>
              <w:t>7</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慢性肺源性心脏病</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提供住院病历（限三年内）复印件，并符合下列条件者：1、有慢性支气管炎（哮喘、扩张）、重症肺结核、矽肺及其他慢性肺</w:t>
            </w:r>
            <w:proofErr w:type="gramStart"/>
            <w:r w:rsidRPr="00503F1C">
              <w:rPr>
                <w:rFonts w:ascii="宋体" w:eastAsia="宋体" w:hAnsi="宋体" w:cs="宋体" w:hint="eastAsia"/>
                <w:kern w:val="0"/>
                <w:sz w:val="24"/>
                <w:szCs w:val="24"/>
                <w:bdr w:val="none" w:sz="0" w:space="0" w:color="auto" w:frame="1"/>
              </w:rPr>
              <w:t>胸疾病</w:t>
            </w:r>
            <w:proofErr w:type="gramEnd"/>
            <w:r w:rsidRPr="00503F1C">
              <w:rPr>
                <w:rFonts w:ascii="宋体" w:eastAsia="宋体" w:hAnsi="宋体" w:cs="宋体" w:hint="eastAsia"/>
                <w:kern w:val="0"/>
                <w:sz w:val="24"/>
                <w:szCs w:val="24"/>
                <w:bdr w:val="none" w:sz="0" w:space="0" w:color="auto" w:frame="1"/>
              </w:rPr>
              <w:t>或肺血管疾病病史；2、心电图、超声心动图、X线、实验室、肺功能等相关检查符合肺心病改变者</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400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4800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确认该病种后支付年限为二年，二年后需重新确认</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8</w:t>
            </w:r>
            <w:r w:rsidR="00503F1C" w:rsidRPr="00503F1C">
              <w:rPr>
                <w:rFonts w:ascii="宋体" w:eastAsia="宋体" w:hAnsi="宋体" w:cs="宋体" w:hint="eastAsia"/>
                <w:kern w:val="0"/>
                <w:sz w:val="24"/>
                <w:szCs w:val="24"/>
                <w:bdr w:val="none" w:sz="0" w:space="0" w:color="auto" w:frame="1"/>
              </w:rPr>
              <w:t>8</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慢性支气管炎</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提供住院病历（限三年内）复印件，并符合下列条件者：1、咳嗽、咳痰或伴有喘息，每年发病持续3个月以上，并连续2年以上者；2、X线检查异常；3、根据全国慢性支气管炎临床专业会议制定的标准，符合标准者</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300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3600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确认该病种后支付年限为二年，二年后需重新确认</w:t>
            </w:r>
          </w:p>
        </w:tc>
      </w:tr>
      <w:tr w:rsidR="00503F1C" w:rsidRPr="00503F1C" w:rsidTr="006B5C7E">
        <w:tc>
          <w:tcPr>
            <w:tcW w:w="456" w:type="dxa"/>
            <w:tcBorders>
              <w:top w:val="nil"/>
              <w:left w:val="single" w:sz="4" w:space="0" w:color="000000"/>
              <w:bottom w:val="single" w:sz="4" w:space="0" w:color="000000"/>
              <w:right w:val="single" w:sz="4" w:space="0" w:color="000000"/>
            </w:tcBorders>
            <w:vAlign w:val="center"/>
            <w:hideMark/>
          </w:tcPr>
          <w:p w:rsidR="00503F1C" w:rsidRPr="00503F1C" w:rsidRDefault="00FD4309" w:rsidP="00503F1C">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9</w:t>
            </w:r>
            <w:r w:rsidR="00503F1C" w:rsidRPr="00503F1C">
              <w:rPr>
                <w:rFonts w:ascii="宋体" w:eastAsia="宋体" w:hAnsi="宋体" w:cs="宋体" w:hint="eastAsia"/>
                <w:kern w:val="0"/>
                <w:sz w:val="24"/>
                <w:szCs w:val="24"/>
                <w:bdr w:val="none" w:sz="0" w:space="0" w:color="auto" w:frame="1"/>
              </w:rPr>
              <w:t>9</w:t>
            </w:r>
          </w:p>
        </w:tc>
        <w:tc>
          <w:tcPr>
            <w:tcW w:w="195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胃十二指肠溃疡（伴有并发症）</w:t>
            </w:r>
          </w:p>
        </w:tc>
        <w:tc>
          <w:tcPr>
            <w:tcW w:w="2823"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left"/>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提供住院病历（限三年内）复印件，并符合下列条件者：1、有胃十二指肠溃疡伴有并发症的病史及相关的临床表现；2、内镜检查、X线及其他相关检查符合胃十二指肠溃疡及有并发症的诊断标准者</w:t>
            </w:r>
          </w:p>
        </w:tc>
        <w:tc>
          <w:tcPr>
            <w:tcW w:w="1146"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200</w:t>
            </w:r>
          </w:p>
        </w:tc>
        <w:tc>
          <w:tcPr>
            <w:tcW w:w="1275"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2400</w:t>
            </w:r>
          </w:p>
        </w:tc>
        <w:tc>
          <w:tcPr>
            <w:tcW w:w="1418" w:type="dxa"/>
            <w:tcBorders>
              <w:top w:val="nil"/>
              <w:left w:val="nil"/>
              <w:bottom w:val="single" w:sz="4" w:space="0" w:color="000000"/>
              <w:right w:val="single" w:sz="4" w:space="0" w:color="000000"/>
            </w:tcBorders>
            <w:vAlign w:val="center"/>
            <w:hideMark/>
          </w:tcPr>
          <w:p w:rsidR="00503F1C" w:rsidRPr="00503F1C" w:rsidRDefault="00503F1C" w:rsidP="00503F1C">
            <w:pPr>
              <w:widowControl/>
              <w:spacing w:line="315" w:lineRule="atLeast"/>
              <w:ind w:firstLine="480"/>
              <w:jc w:val="center"/>
              <w:rPr>
                <w:rFonts w:ascii="微软雅黑" w:eastAsia="微软雅黑" w:hAnsi="微软雅黑" w:cs="宋体"/>
                <w:kern w:val="0"/>
                <w:szCs w:val="21"/>
              </w:rPr>
            </w:pPr>
            <w:r w:rsidRPr="00503F1C">
              <w:rPr>
                <w:rFonts w:ascii="宋体" w:eastAsia="宋体" w:hAnsi="宋体" w:cs="宋体" w:hint="eastAsia"/>
                <w:kern w:val="0"/>
                <w:sz w:val="24"/>
                <w:szCs w:val="24"/>
                <w:bdr w:val="none" w:sz="0" w:space="0" w:color="auto" w:frame="1"/>
              </w:rPr>
              <w:t>确认该病种后支付年限为一年，一年后需重新确认</w:t>
            </w:r>
          </w:p>
        </w:tc>
      </w:tr>
      <w:bookmarkEnd w:id="0"/>
    </w:tbl>
    <w:p w:rsidR="00293D06" w:rsidRPr="00FD4309" w:rsidRDefault="00293D06"/>
    <w:sectPr w:rsidR="00293D06" w:rsidRPr="00FD4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D8"/>
    <w:rsid w:val="000A79D8"/>
    <w:rsid w:val="00293D06"/>
    <w:rsid w:val="00503F1C"/>
    <w:rsid w:val="006B5C7E"/>
    <w:rsid w:val="0073168C"/>
    <w:rsid w:val="00AD35B7"/>
    <w:rsid w:val="00B72898"/>
    <w:rsid w:val="00C208B6"/>
    <w:rsid w:val="00D5096E"/>
    <w:rsid w:val="00FD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3F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3F1C"/>
    <w:rPr>
      <w:rFonts w:ascii="宋体" w:eastAsia="宋体" w:hAnsi="宋体" w:cs="宋体"/>
      <w:b/>
      <w:bCs/>
      <w:kern w:val="36"/>
      <w:sz w:val="48"/>
      <w:szCs w:val="48"/>
    </w:rPr>
  </w:style>
  <w:style w:type="paragraph" w:customStyle="1" w:styleId="p0">
    <w:name w:val="p0"/>
    <w:basedOn w:val="a"/>
    <w:rsid w:val="00503F1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3F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3F1C"/>
    <w:rPr>
      <w:rFonts w:ascii="宋体" w:eastAsia="宋体" w:hAnsi="宋体" w:cs="宋体"/>
      <w:b/>
      <w:bCs/>
      <w:kern w:val="36"/>
      <w:sz w:val="48"/>
      <w:szCs w:val="48"/>
    </w:rPr>
  </w:style>
  <w:style w:type="paragraph" w:customStyle="1" w:styleId="p0">
    <w:name w:val="p0"/>
    <w:basedOn w:val="a"/>
    <w:rsid w:val="00503F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13762">
      <w:bodyDiv w:val="1"/>
      <w:marLeft w:val="0"/>
      <w:marRight w:val="0"/>
      <w:marTop w:val="0"/>
      <w:marBottom w:val="0"/>
      <w:divBdr>
        <w:top w:val="none" w:sz="0" w:space="0" w:color="auto"/>
        <w:left w:val="none" w:sz="0" w:space="0" w:color="auto"/>
        <w:bottom w:val="none" w:sz="0" w:space="0" w:color="auto"/>
        <w:right w:val="none" w:sz="0" w:space="0" w:color="auto"/>
      </w:divBdr>
    </w:div>
    <w:div w:id="992753736">
      <w:bodyDiv w:val="1"/>
      <w:marLeft w:val="0"/>
      <w:marRight w:val="0"/>
      <w:marTop w:val="0"/>
      <w:marBottom w:val="0"/>
      <w:divBdr>
        <w:top w:val="none" w:sz="0" w:space="0" w:color="auto"/>
        <w:left w:val="none" w:sz="0" w:space="0" w:color="auto"/>
        <w:bottom w:val="none" w:sz="0" w:space="0" w:color="auto"/>
        <w:right w:val="none" w:sz="0" w:space="0" w:color="auto"/>
      </w:divBdr>
    </w:div>
    <w:div w:id="17188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王元</dc:creator>
  <cp:keywords/>
  <dc:description/>
  <cp:lastModifiedBy>王元</cp:lastModifiedBy>
  <cp:revision>9</cp:revision>
  <dcterms:created xsi:type="dcterms:W3CDTF">2021-03-25T08:59:00Z</dcterms:created>
  <dcterms:modified xsi:type="dcterms:W3CDTF">2021-03-25T09:07:00Z</dcterms:modified>
</cp:coreProperties>
</file>